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rPr>
          <w:rFonts w:hint="eastAsia" w:ascii="宋体" w:hAnsi="宋体"/>
          <w:b/>
          <w:color w:val="auto"/>
          <w:kern w:val="0"/>
          <w:sz w:val="30"/>
          <w:szCs w:val="30"/>
          <w:highlight w:val="none"/>
          <w:lang w:eastAsia="zh-CN"/>
        </w:rPr>
      </w:pPr>
    </w:p>
    <w:p>
      <w:pPr>
        <w:autoSpaceDE w:val="0"/>
        <w:autoSpaceDN w:val="0"/>
        <w:adjustRightInd w:val="0"/>
        <w:snapToGrid w:val="0"/>
        <w:spacing w:line="360" w:lineRule="auto"/>
        <w:jc w:val="center"/>
        <w:rPr>
          <w:rFonts w:hint="eastAsia" w:ascii="宋体" w:hAnsi="宋体"/>
          <w:b/>
          <w:color w:val="auto"/>
          <w:kern w:val="0"/>
          <w:sz w:val="30"/>
          <w:szCs w:val="30"/>
          <w:highlight w:val="none"/>
          <w:lang w:eastAsia="zh-CN"/>
        </w:rPr>
      </w:pPr>
      <w:r>
        <w:rPr>
          <w:rFonts w:hint="eastAsia" w:ascii="宋体" w:hAnsi="宋体"/>
          <w:b/>
          <w:color w:val="auto"/>
          <w:kern w:val="0"/>
          <w:sz w:val="30"/>
          <w:szCs w:val="30"/>
          <w:highlight w:val="none"/>
          <w:lang w:eastAsia="zh-CN"/>
        </w:rPr>
        <w:t>项目名称：</w:t>
      </w:r>
      <w:bookmarkStart w:id="105" w:name="_GoBack"/>
      <w:bookmarkEnd w:id="105"/>
      <w:r>
        <w:rPr>
          <w:rFonts w:hint="eastAsia" w:ascii="宋体" w:hAnsi="宋体"/>
          <w:b/>
          <w:color w:val="auto"/>
          <w:kern w:val="0"/>
          <w:sz w:val="30"/>
          <w:szCs w:val="30"/>
          <w:highlight w:val="none"/>
          <w:lang w:val="en-US" w:eastAsia="zh-CN"/>
        </w:rPr>
        <w:t>2026年重庆之夜·</w:t>
      </w:r>
      <w:r>
        <w:rPr>
          <w:rFonts w:hint="eastAsia" w:ascii="宋体" w:hAnsi="宋体"/>
          <w:b/>
          <w:color w:val="auto"/>
          <w:kern w:val="0"/>
          <w:sz w:val="30"/>
          <w:szCs w:val="30"/>
          <w:highlight w:val="none"/>
          <w:lang w:eastAsia="zh-CN"/>
        </w:rPr>
        <w:t>国际光影文化旅游季</w:t>
      </w:r>
      <w:r>
        <w:rPr>
          <w:rFonts w:hint="eastAsia" w:ascii="宋体" w:hAnsi="宋体"/>
          <w:b/>
          <w:color w:val="auto"/>
          <w:kern w:val="0"/>
          <w:sz w:val="30"/>
          <w:szCs w:val="30"/>
          <w:highlight w:val="none"/>
          <w:lang w:val="en-US" w:eastAsia="zh-CN"/>
        </w:rPr>
        <w:t>总</w:t>
      </w:r>
      <w:r>
        <w:rPr>
          <w:rFonts w:hint="eastAsia" w:ascii="宋体" w:hAnsi="宋体"/>
          <w:b/>
          <w:color w:val="auto"/>
          <w:kern w:val="0"/>
          <w:sz w:val="30"/>
          <w:szCs w:val="30"/>
          <w:highlight w:val="none"/>
          <w:lang w:eastAsia="zh-CN"/>
        </w:rPr>
        <w:t>策划</w:t>
      </w:r>
      <w:r>
        <w:rPr>
          <w:rFonts w:hint="eastAsia" w:ascii="宋体" w:hAnsi="宋体"/>
          <w:b/>
          <w:color w:val="auto"/>
          <w:kern w:val="0"/>
          <w:sz w:val="30"/>
          <w:szCs w:val="30"/>
          <w:highlight w:val="none"/>
          <w:lang w:val="en-US" w:eastAsia="zh-CN"/>
        </w:rPr>
        <w:t>编制</w:t>
      </w:r>
      <w:r>
        <w:rPr>
          <w:rFonts w:hint="eastAsia" w:ascii="宋体" w:hAnsi="宋体"/>
          <w:b/>
          <w:color w:val="auto"/>
          <w:kern w:val="0"/>
          <w:sz w:val="30"/>
          <w:szCs w:val="30"/>
          <w:highlight w:val="none"/>
          <w:lang w:eastAsia="zh-CN"/>
        </w:rPr>
        <w:t>及</w:t>
      </w:r>
      <w:r>
        <w:rPr>
          <w:rFonts w:hint="eastAsia" w:ascii="宋体" w:hAnsi="宋体"/>
          <w:b/>
          <w:color w:val="auto"/>
          <w:kern w:val="0"/>
          <w:sz w:val="30"/>
          <w:szCs w:val="30"/>
          <w:highlight w:val="none"/>
          <w:lang w:val="en-US" w:eastAsia="zh-CN"/>
        </w:rPr>
        <w:t>内容设计</w:t>
      </w:r>
      <w:r>
        <w:rPr>
          <w:rFonts w:hint="eastAsia" w:ascii="宋体" w:hAnsi="宋体"/>
          <w:b/>
          <w:color w:val="auto"/>
          <w:kern w:val="0"/>
          <w:sz w:val="30"/>
          <w:szCs w:val="30"/>
          <w:highlight w:val="none"/>
          <w:lang w:eastAsia="zh-CN"/>
        </w:rPr>
        <w:t>采购</w:t>
      </w:r>
    </w:p>
    <w:p>
      <w:pPr>
        <w:autoSpaceDE w:val="0"/>
        <w:autoSpaceDN w:val="0"/>
        <w:adjustRightInd w:val="0"/>
        <w:snapToGrid w:val="0"/>
        <w:spacing w:line="360" w:lineRule="auto"/>
        <w:jc w:val="center"/>
        <w:rPr>
          <w:rFonts w:hint="eastAsia" w:ascii="宋体" w:hAnsi="宋体" w:cs="MingLiU"/>
          <w:b/>
          <w:color w:val="auto"/>
          <w:kern w:val="0"/>
          <w:sz w:val="84"/>
          <w:szCs w:val="44"/>
          <w:highlight w:val="none"/>
        </w:rPr>
      </w:pPr>
    </w:p>
    <w:p>
      <w:pPr>
        <w:pStyle w:val="52"/>
        <w:rPr>
          <w:rFonts w:hint="eastAsia"/>
          <w:color w:val="auto"/>
          <w:highlight w:val="none"/>
        </w:rPr>
      </w:pPr>
    </w:p>
    <w:p>
      <w:pPr>
        <w:autoSpaceDE w:val="0"/>
        <w:autoSpaceDN w:val="0"/>
        <w:adjustRightInd w:val="0"/>
        <w:snapToGrid w:val="0"/>
        <w:spacing w:line="360" w:lineRule="auto"/>
        <w:jc w:val="center"/>
        <w:rPr>
          <w:rFonts w:hint="eastAsia" w:ascii="宋体" w:hAnsi="宋体" w:cs="MingLiU"/>
          <w:b/>
          <w:color w:val="auto"/>
          <w:kern w:val="0"/>
          <w:sz w:val="84"/>
          <w:szCs w:val="44"/>
          <w:highlight w:val="none"/>
        </w:rPr>
      </w:pPr>
      <w:r>
        <w:rPr>
          <w:rFonts w:hint="eastAsia" w:ascii="宋体" w:hAnsi="宋体" w:cs="MingLiU"/>
          <w:b/>
          <w:color w:val="auto"/>
          <w:kern w:val="0"/>
          <w:sz w:val="84"/>
          <w:szCs w:val="44"/>
          <w:highlight w:val="none"/>
          <w:lang w:eastAsia="zh-CN"/>
        </w:rPr>
        <w:t>公开</w:t>
      </w:r>
      <w:r>
        <w:rPr>
          <w:rFonts w:hint="eastAsia" w:ascii="宋体" w:hAnsi="宋体" w:cs="MingLiU"/>
          <w:b/>
          <w:color w:val="auto"/>
          <w:kern w:val="0"/>
          <w:sz w:val="84"/>
          <w:szCs w:val="44"/>
          <w:highlight w:val="none"/>
        </w:rPr>
        <w:t>比选文件</w:t>
      </w:r>
    </w:p>
    <w:p>
      <w:pPr>
        <w:autoSpaceDE w:val="0"/>
        <w:autoSpaceDN w:val="0"/>
        <w:adjustRightInd w:val="0"/>
        <w:snapToGrid w:val="0"/>
        <w:spacing w:line="360" w:lineRule="auto"/>
        <w:jc w:val="left"/>
        <w:rPr>
          <w:rFonts w:ascii="宋体" w:hAnsi="宋体" w:cs="MingLiU"/>
          <w:color w:val="auto"/>
          <w:kern w:val="0"/>
          <w:sz w:val="10"/>
          <w:szCs w:val="10"/>
          <w:highlight w:val="none"/>
        </w:rPr>
      </w:pPr>
    </w:p>
    <w:p>
      <w:pPr>
        <w:autoSpaceDE w:val="0"/>
        <w:autoSpaceDN w:val="0"/>
        <w:adjustRightInd w:val="0"/>
        <w:snapToGrid w:val="0"/>
        <w:spacing w:line="360" w:lineRule="auto"/>
        <w:jc w:val="center"/>
        <w:rPr>
          <w:color w:val="auto"/>
          <w:highlight w:val="none"/>
        </w:rPr>
      </w:pPr>
    </w:p>
    <w:p>
      <w:pPr>
        <w:autoSpaceDE w:val="0"/>
        <w:autoSpaceDN w:val="0"/>
        <w:adjustRightInd w:val="0"/>
        <w:snapToGrid w:val="0"/>
        <w:spacing w:line="360" w:lineRule="auto"/>
        <w:jc w:val="center"/>
        <w:rPr>
          <w:color w:val="auto"/>
          <w:highlight w:val="none"/>
        </w:rPr>
      </w:pPr>
    </w:p>
    <w:p>
      <w:pPr>
        <w:autoSpaceDE w:val="0"/>
        <w:autoSpaceDN w:val="0"/>
        <w:adjustRightInd w:val="0"/>
        <w:snapToGrid w:val="0"/>
        <w:spacing w:line="360" w:lineRule="auto"/>
        <w:jc w:val="center"/>
        <w:rPr>
          <w:color w:val="auto"/>
          <w:highlight w:val="none"/>
        </w:rPr>
      </w:pPr>
    </w:p>
    <w:p>
      <w:pPr>
        <w:autoSpaceDE w:val="0"/>
        <w:autoSpaceDN w:val="0"/>
        <w:adjustRightInd w:val="0"/>
        <w:snapToGrid w:val="0"/>
        <w:spacing w:line="360" w:lineRule="auto"/>
        <w:jc w:val="center"/>
        <w:rPr>
          <w:color w:val="auto"/>
          <w:highlight w:val="none"/>
        </w:rPr>
      </w:pPr>
    </w:p>
    <w:p>
      <w:pPr>
        <w:autoSpaceDE w:val="0"/>
        <w:autoSpaceDN w:val="0"/>
        <w:adjustRightInd w:val="0"/>
        <w:snapToGrid w:val="0"/>
        <w:spacing w:line="360" w:lineRule="auto"/>
        <w:jc w:val="center"/>
        <w:rPr>
          <w:color w:val="auto"/>
          <w:highlight w:val="none"/>
        </w:rPr>
      </w:pPr>
    </w:p>
    <w:p>
      <w:pPr>
        <w:pStyle w:val="21"/>
        <w:rPr>
          <w:color w:val="auto"/>
          <w:highlight w:val="none"/>
        </w:rPr>
      </w:pPr>
    </w:p>
    <w:p>
      <w:pPr>
        <w:pStyle w:val="69"/>
        <w:rPr>
          <w:color w:val="auto"/>
          <w:highlight w:val="none"/>
        </w:rPr>
      </w:pPr>
    </w:p>
    <w:p>
      <w:pPr>
        <w:rPr>
          <w:color w:val="auto"/>
          <w:highlight w:val="none"/>
        </w:rPr>
      </w:pPr>
    </w:p>
    <w:p>
      <w:pPr>
        <w:autoSpaceDE w:val="0"/>
        <w:autoSpaceDN w:val="0"/>
        <w:adjustRightInd w:val="0"/>
        <w:snapToGrid w:val="0"/>
        <w:spacing w:line="360" w:lineRule="auto"/>
        <w:jc w:val="left"/>
        <w:rPr>
          <w:rFonts w:hint="eastAsia" w:ascii="宋体" w:hAnsi="宋体" w:cs="MingLiU"/>
          <w:color w:val="auto"/>
          <w:kern w:val="0"/>
          <w:sz w:val="20"/>
          <w:szCs w:val="20"/>
          <w:highlight w:val="none"/>
        </w:rPr>
      </w:pPr>
    </w:p>
    <w:p>
      <w:pPr>
        <w:rPr>
          <w:rFonts w:hint="eastAsia" w:ascii="宋体" w:hAnsi="宋体" w:cs="MingLiU"/>
          <w:color w:val="auto"/>
          <w:kern w:val="0"/>
          <w:sz w:val="20"/>
          <w:szCs w:val="20"/>
          <w:highlight w:val="none"/>
        </w:rPr>
      </w:pPr>
    </w:p>
    <w:p>
      <w:pPr>
        <w:pStyle w:val="5"/>
        <w:rPr>
          <w:rFonts w:hint="eastAsia" w:ascii="宋体" w:hAnsi="宋体"/>
          <w:color w:val="auto"/>
          <w:sz w:val="20"/>
          <w:szCs w:val="20"/>
          <w:highlight w:val="none"/>
        </w:rPr>
      </w:pPr>
    </w:p>
    <w:p>
      <w:pPr>
        <w:rPr>
          <w:rFonts w:hint="eastAsia"/>
          <w:color w:val="auto"/>
          <w:highlight w:val="none"/>
        </w:rPr>
      </w:pPr>
    </w:p>
    <w:p>
      <w:pPr>
        <w:rPr>
          <w:rFonts w:hint="eastAsia"/>
          <w:color w:val="auto"/>
          <w:highlight w:val="none"/>
        </w:rPr>
      </w:pPr>
    </w:p>
    <w:p>
      <w:pPr>
        <w:tabs>
          <w:tab w:val="left" w:pos="6219"/>
        </w:tabs>
        <w:autoSpaceDE w:val="0"/>
        <w:autoSpaceDN w:val="0"/>
        <w:adjustRightInd w:val="0"/>
        <w:snapToGrid w:val="0"/>
        <w:spacing w:line="360" w:lineRule="auto"/>
        <w:ind w:firstLine="714" w:firstLineChars="300"/>
        <w:rPr>
          <w:rFonts w:hint="eastAsia" w:ascii="宋体" w:hAnsi="宋体" w:cs="MingLiU"/>
          <w:b/>
          <w:color w:val="auto"/>
          <w:w w:val="99"/>
          <w:kern w:val="0"/>
          <w:sz w:val="24"/>
          <w:highlight w:val="none"/>
        </w:rPr>
      </w:pPr>
      <w:r>
        <w:rPr>
          <w:rFonts w:hint="eastAsia" w:ascii="宋体" w:hAnsi="宋体" w:cs="MingLiU"/>
          <w:b/>
          <w:color w:val="auto"/>
          <w:w w:val="99"/>
          <w:kern w:val="0"/>
          <w:sz w:val="24"/>
          <w:highlight w:val="none"/>
        </w:rPr>
        <w:t>比    选　 人：</w:t>
      </w:r>
      <w:r>
        <w:rPr>
          <w:rFonts w:hint="eastAsia" w:ascii="宋体" w:hAnsi="宋体"/>
          <w:b/>
          <w:color w:val="auto"/>
          <w:kern w:val="0"/>
          <w:sz w:val="24"/>
          <w:highlight w:val="none"/>
          <w:u w:val="single"/>
          <w:lang w:eastAsia="zh-CN"/>
        </w:rPr>
        <w:t>重庆山水城文化旅游发展有限公司</w:t>
      </w:r>
      <w:r>
        <w:rPr>
          <w:rFonts w:hint="eastAsia" w:ascii="宋体" w:hAnsi="宋体"/>
          <w:b/>
          <w:color w:val="auto"/>
          <w:kern w:val="0"/>
          <w:sz w:val="24"/>
          <w:highlight w:val="none"/>
          <w:u w:val="single"/>
        </w:rPr>
        <w:t xml:space="preserve"> </w:t>
      </w:r>
      <w:r>
        <w:rPr>
          <w:rFonts w:ascii="宋体" w:hAnsi="宋体"/>
          <w:b/>
          <w:color w:val="auto"/>
          <w:kern w:val="0"/>
          <w:sz w:val="24"/>
          <w:highlight w:val="none"/>
          <w:u w:val="single"/>
        </w:rPr>
        <w:t xml:space="preserve"> </w:t>
      </w:r>
      <w:r>
        <w:rPr>
          <w:rFonts w:hint="eastAsia" w:ascii="宋体" w:hAnsi="宋体" w:cs="MingLiU"/>
          <w:b/>
          <w:color w:val="auto"/>
          <w:w w:val="99"/>
          <w:kern w:val="0"/>
          <w:sz w:val="24"/>
          <w:highlight w:val="none"/>
        </w:rPr>
        <w:t>（盖单位公章）</w:t>
      </w:r>
    </w:p>
    <w:p>
      <w:pPr>
        <w:tabs>
          <w:tab w:val="left" w:pos="6252"/>
        </w:tabs>
        <w:autoSpaceDE w:val="0"/>
        <w:autoSpaceDN w:val="0"/>
        <w:adjustRightInd w:val="0"/>
        <w:snapToGrid w:val="0"/>
        <w:spacing w:line="360" w:lineRule="auto"/>
        <w:rPr>
          <w:rFonts w:hint="eastAsia" w:ascii="宋体" w:hAnsi="宋体" w:cs="MingLiU"/>
          <w:b/>
          <w:color w:val="auto"/>
          <w:spacing w:val="8"/>
          <w:kern w:val="0"/>
          <w:sz w:val="24"/>
          <w:highlight w:val="none"/>
        </w:rPr>
      </w:pPr>
    </w:p>
    <w:p>
      <w:pPr>
        <w:spacing w:line="360" w:lineRule="auto"/>
        <w:rPr>
          <w:rFonts w:hint="eastAsia" w:ascii="宋体" w:hAnsi="宋体" w:cs="MingLiU"/>
          <w:b/>
          <w:color w:val="auto"/>
          <w:spacing w:val="8"/>
          <w:kern w:val="0"/>
          <w:sz w:val="28"/>
          <w:szCs w:val="28"/>
          <w:highlight w:val="none"/>
        </w:rPr>
      </w:pPr>
    </w:p>
    <w:p>
      <w:pPr>
        <w:tabs>
          <w:tab w:val="left" w:pos="3200"/>
          <w:tab w:val="left" w:pos="4320"/>
          <w:tab w:val="left" w:pos="5420"/>
        </w:tabs>
        <w:autoSpaceDE w:val="0"/>
        <w:autoSpaceDN w:val="0"/>
        <w:adjustRightInd w:val="0"/>
        <w:snapToGrid w:val="0"/>
        <w:spacing w:line="360" w:lineRule="auto"/>
        <w:jc w:val="center"/>
        <w:rPr>
          <w:rFonts w:ascii="宋体" w:hAnsi="宋体" w:cs="MingLiU"/>
          <w:b/>
          <w:color w:val="auto"/>
          <w:w w:val="99"/>
          <w:kern w:val="0"/>
          <w:sz w:val="28"/>
          <w:szCs w:val="28"/>
          <w:highlight w:val="none"/>
        </w:rPr>
      </w:pPr>
    </w:p>
    <w:p>
      <w:pPr>
        <w:tabs>
          <w:tab w:val="left" w:pos="3200"/>
          <w:tab w:val="left" w:pos="4320"/>
          <w:tab w:val="left" w:pos="5420"/>
        </w:tabs>
        <w:autoSpaceDE w:val="0"/>
        <w:autoSpaceDN w:val="0"/>
        <w:adjustRightInd w:val="0"/>
        <w:snapToGrid w:val="0"/>
        <w:spacing w:line="360" w:lineRule="auto"/>
        <w:jc w:val="center"/>
        <w:rPr>
          <w:rFonts w:ascii="宋体" w:hAnsi="宋体" w:cs="MingLiU"/>
          <w:b/>
          <w:color w:val="auto"/>
          <w:w w:val="99"/>
          <w:kern w:val="0"/>
          <w:sz w:val="28"/>
          <w:szCs w:val="28"/>
          <w:highlight w:val="none"/>
        </w:rPr>
      </w:pPr>
    </w:p>
    <w:p>
      <w:pPr>
        <w:tabs>
          <w:tab w:val="left" w:pos="3200"/>
          <w:tab w:val="left" w:pos="4320"/>
          <w:tab w:val="left" w:pos="5420"/>
        </w:tabs>
        <w:autoSpaceDE w:val="0"/>
        <w:autoSpaceDN w:val="0"/>
        <w:adjustRightInd w:val="0"/>
        <w:snapToGrid w:val="0"/>
        <w:spacing w:line="360" w:lineRule="auto"/>
        <w:jc w:val="center"/>
        <w:rPr>
          <w:rFonts w:hint="eastAsia" w:ascii="宋体" w:hAnsi="宋体" w:cs="MingLiU"/>
          <w:b/>
          <w:color w:val="auto"/>
          <w:w w:val="99"/>
          <w:kern w:val="0"/>
          <w:sz w:val="28"/>
          <w:szCs w:val="28"/>
          <w:highlight w:val="none"/>
        </w:rPr>
      </w:pPr>
      <w:r>
        <w:rPr>
          <w:rFonts w:hint="eastAsia" w:ascii="宋体" w:hAnsi="宋体" w:cs="MingLiU"/>
          <w:b/>
          <w:color w:val="auto"/>
          <w:w w:val="99"/>
          <w:kern w:val="0"/>
          <w:sz w:val="28"/>
          <w:szCs w:val="28"/>
          <w:highlight w:val="none"/>
        </w:rPr>
        <w:t>二○二</w:t>
      </w:r>
      <w:r>
        <w:rPr>
          <w:rFonts w:hint="eastAsia" w:ascii="宋体" w:hAnsi="宋体" w:cs="MingLiU"/>
          <w:b/>
          <w:color w:val="auto"/>
          <w:w w:val="99"/>
          <w:kern w:val="0"/>
          <w:sz w:val="28"/>
          <w:szCs w:val="28"/>
          <w:highlight w:val="none"/>
          <w:lang w:val="en-US" w:eastAsia="zh-CN"/>
        </w:rPr>
        <w:t>五</w:t>
      </w:r>
      <w:r>
        <w:rPr>
          <w:rFonts w:hint="eastAsia" w:ascii="宋体" w:hAnsi="宋体" w:cs="MingLiU"/>
          <w:b/>
          <w:color w:val="auto"/>
          <w:w w:val="99"/>
          <w:kern w:val="0"/>
          <w:sz w:val="28"/>
          <w:szCs w:val="28"/>
          <w:highlight w:val="none"/>
        </w:rPr>
        <w:t>年</w:t>
      </w:r>
      <w:r>
        <w:rPr>
          <w:rFonts w:hint="eastAsia" w:ascii="宋体" w:hAnsi="宋体" w:cs="MingLiU"/>
          <w:b/>
          <w:color w:val="auto"/>
          <w:w w:val="99"/>
          <w:kern w:val="0"/>
          <w:sz w:val="28"/>
          <w:szCs w:val="28"/>
          <w:highlight w:val="none"/>
          <w:lang w:val="en-US" w:eastAsia="zh-CN"/>
        </w:rPr>
        <w:t>十二</w:t>
      </w:r>
      <w:r>
        <w:rPr>
          <w:rFonts w:hint="eastAsia" w:ascii="宋体" w:hAnsi="宋体" w:cs="MingLiU"/>
          <w:b/>
          <w:color w:val="auto"/>
          <w:w w:val="99"/>
          <w:kern w:val="0"/>
          <w:sz w:val="28"/>
          <w:szCs w:val="28"/>
          <w:highlight w:val="none"/>
        </w:rPr>
        <w:t>月</w:t>
      </w:r>
    </w:p>
    <w:p>
      <w:pPr>
        <w:jc w:val="center"/>
        <w:rPr>
          <w:rFonts w:hint="eastAsia"/>
          <w:color w:val="auto"/>
          <w:sz w:val="40"/>
          <w:szCs w:val="48"/>
          <w:highlight w:val="none"/>
        </w:rPr>
        <w:sectPr>
          <w:footerReference r:id="rId5" w:type="first"/>
          <w:headerReference r:id="rId3" w:type="default"/>
          <w:footerReference r:id="rId4" w:type="even"/>
          <w:pgSz w:w="11906" w:h="16838"/>
          <w:pgMar w:top="1134" w:right="1134" w:bottom="1134" w:left="1134" w:header="851" w:footer="992" w:gutter="0"/>
          <w:pgBorders>
            <w:top w:val="none" w:sz="0" w:space="0"/>
            <w:left w:val="none" w:sz="0" w:space="0"/>
            <w:bottom w:val="none" w:sz="0" w:space="0"/>
            <w:right w:val="none" w:sz="0" w:space="0"/>
          </w:pgBorders>
          <w:cols w:space="720" w:num="1"/>
          <w:titlePg/>
          <w:docGrid w:type="lines" w:linePitch="312" w:charSpace="0"/>
        </w:sectPr>
      </w:pPr>
      <w:bookmarkStart w:id="0" w:name="_Toc224103298"/>
      <w:bookmarkStart w:id="1" w:name="_Toc200359237"/>
      <w:bookmarkStart w:id="2" w:name="_Toc443576762"/>
      <w:bookmarkStart w:id="3" w:name="_Toc200359426"/>
    </w:p>
    <w:p>
      <w:pPr>
        <w:jc w:val="center"/>
        <w:rPr>
          <w:rFonts w:hint="eastAsia"/>
          <w:color w:val="auto"/>
          <w:highlight w:val="none"/>
        </w:rPr>
      </w:pPr>
      <w:r>
        <w:rPr>
          <w:rFonts w:hint="eastAsia"/>
          <w:color w:val="auto"/>
          <w:sz w:val="40"/>
          <w:szCs w:val="48"/>
          <w:highlight w:val="none"/>
        </w:rPr>
        <w:t>目  录</w:t>
      </w:r>
    </w:p>
    <w:p>
      <w:pPr>
        <w:pStyle w:val="37"/>
        <w:tabs>
          <w:tab w:val="right" w:leader="dot" w:pos="9638"/>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_Toc21058 </w:instrText>
      </w:r>
      <w:r>
        <w:rPr>
          <w:color w:val="auto"/>
          <w:highlight w:val="none"/>
        </w:rPr>
        <w:fldChar w:fldCharType="separate"/>
      </w:r>
      <w:r>
        <w:rPr>
          <w:rFonts w:hint="default" w:ascii="黑体"/>
          <w:color w:val="auto"/>
          <w:highlight w:val="none"/>
          <w:lang w:eastAsia="zh-CN"/>
        </w:rPr>
        <w:t xml:space="preserve">第一章 </w:t>
      </w:r>
      <w:r>
        <w:rPr>
          <w:rFonts w:hint="eastAsia"/>
          <w:color w:val="auto"/>
          <w:highlight w:val="none"/>
          <w:lang w:val="en-US" w:eastAsia="zh-CN"/>
        </w:rPr>
        <w:t>比选公告</w:t>
      </w:r>
      <w:r>
        <w:rPr>
          <w:color w:val="auto"/>
          <w:highlight w:val="none"/>
        </w:rPr>
        <w:tab/>
      </w:r>
      <w:r>
        <w:rPr>
          <w:color w:val="auto"/>
          <w:highlight w:val="none"/>
        </w:rPr>
        <w:fldChar w:fldCharType="begin"/>
      </w:r>
      <w:r>
        <w:rPr>
          <w:color w:val="auto"/>
          <w:highlight w:val="none"/>
        </w:rPr>
        <w:instrText xml:space="preserve"> PAGEREF _Toc21058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37"/>
        <w:tabs>
          <w:tab w:val="right" w:leader="dot" w:pos="9638"/>
        </w:tabs>
        <w:rPr>
          <w:color w:val="auto"/>
          <w:highlight w:val="none"/>
        </w:rPr>
      </w:pPr>
      <w:r>
        <w:rPr>
          <w:color w:val="auto"/>
          <w:highlight w:val="none"/>
        </w:rPr>
        <w:fldChar w:fldCharType="begin"/>
      </w:r>
      <w:r>
        <w:rPr>
          <w:color w:val="auto"/>
          <w:highlight w:val="none"/>
        </w:rPr>
        <w:instrText xml:space="preserve"> HYPERLINK \l _Toc11647 </w:instrText>
      </w:r>
      <w:r>
        <w:rPr>
          <w:color w:val="auto"/>
          <w:highlight w:val="none"/>
        </w:rPr>
        <w:fldChar w:fldCharType="separate"/>
      </w:r>
      <w:r>
        <w:rPr>
          <w:rFonts w:hint="default" w:ascii="黑体"/>
          <w:color w:val="auto"/>
          <w:highlight w:val="none"/>
        </w:rPr>
        <w:t xml:space="preserve">第二章 </w:t>
      </w:r>
      <w:r>
        <w:rPr>
          <w:rFonts w:hint="eastAsia"/>
          <w:color w:val="auto"/>
          <w:highlight w:val="none"/>
          <w:lang w:eastAsia="zh-CN"/>
        </w:rPr>
        <w:t>参选</w:t>
      </w:r>
      <w:r>
        <w:rPr>
          <w:rFonts w:hint="eastAsia"/>
          <w:color w:val="auto"/>
          <w:highlight w:val="none"/>
        </w:rPr>
        <w:t>人须知</w:t>
      </w:r>
      <w:r>
        <w:rPr>
          <w:color w:val="auto"/>
          <w:highlight w:val="none"/>
        </w:rPr>
        <w:tab/>
      </w:r>
      <w:r>
        <w:rPr>
          <w:color w:val="auto"/>
          <w:highlight w:val="none"/>
        </w:rPr>
        <w:fldChar w:fldCharType="begin"/>
      </w:r>
      <w:r>
        <w:rPr>
          <w:color w:val="auto"/>
          <w:highlight w:val="none"/>
        </w:rPr>
        <w:instrText xml:space="preserve"> PAGEREF _Toc11647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37"/>
        <w:tabs>
          <w:tab w:val="right" w:leader="dot" w:pos="9638"/>
        </w:tabs>
        <w:rPr>
          <w:rFonts w:hint="eastAsia" w:eastAsia="仿宋_GB2312"/>
          <w:color w:val="auto"/>
          <w:highlight w:val="none"/>
          <w:lang w:val="en-US" w:eastAsia="zh-CN"/>
        </w:rPr>
      </w:pPr>
      <w:r>
        <w:rPr>
          <w:color w:val="auto"/>
          <w:highlight w:val="none"/>
        </w:rPr>
        <w:fldChar w:fldCharType="begin"/>
      </w:r>
      <w:r>
        <w:rPr>
          <w:color w:val="auto"/>
          <w:highlight w:val="none"/>
        </w:rPr>
        <w:instrText xml:space="preserve"> HYPERLINK \l _Toc15384 </w:instrText>
      </w:r>
      <w:r>
        <w:rPr>
          <w:color w:val="auto"/>
          <w:highlight w:val="none"/>
        </w:rPr>
        <w:fldChar w:fldCharType="separate"/>
      </w:r>
      <w:r>
        <w:rPr>
          <w:rFonts w:hint="default" w:ascii="黑体"/>
          <w:color w:val="auto"/>
          <w:highlight w:val="none"/>
        </w:rPr>
        <w:t xml:space="preserve">第三章 </w:t>
      </w:r>
      <w:r>
        <w:rPr>
          <w:rFonts w:hint="eastAsia"/>
          <w:color w:val="auto"/>
          <w:highlight w:val="none"/>
        </w:rPr>
        <w:t>评选办法</w:t>
      </w:r>
      <w:r>
        <w:rPr>
          <w:color w:val="auto"/>
          <w:highlight w:val="none"/>
        </w:rPr>
        <w:tab/>
      </w:r>
      <w:r>
        <w:rPr>
          <w:rFonts w:hint="eastAsia"/>
          <w:color w:val="auto"/>
          <w:highlight w:val="none"/>
          <w:lang w:val="en-US" w:eastAsia="zh-CN"/>
        </w:rPr>
        <w:t>8</w:t>
      </w:r>
      <w:r>
        <w:rPr>
          <w:color w:val="auto"/>
          <w:highlight w:val="none"/>
        </w:rPr>
        <w:fldChar w:fldCharType="end"/>
      </w:r>
    </w:p>
    <w:p>
      <w:pPr>
        <w:pStyle w:val="37"/>
        <w:tabs>
          <w:tab w:val="right" w:leader="dot" w:pos="9638"/>
        </w:tabs>
        <w:rPr>
          <w:rFonts w:hint="default" w:eastAsia="仿宋_GB2312"/>
          <w:color w:val="auto"/>
          <w:highlight w:val="none"/>
          <w:lang w:val="en-US" w:eastAsia="zh-CN"/>
        </w:rPr>
      </w:pPr>
      <w:r>
        <w:rPr>
          <w:color w:val="auto"/>
          <w:highlight w:val="none"/>
        </w:rPr>
        <w:fldChar w:fldCharType="begin"/>
      </w:r>
      <w:r>
        <w:rPr>
          <w:color w:val="auto"/>
          <w:highlight w:val="none"/>
        </w:rPr>
        <w:instrText xml:space="preserve"> HYPERLINK \l _Toc20492 </w:instrText>
      </w:r>
      <w:r>
        <w:rPr>
          <w:color w:val="auto"/>
          <w:highlight w:val="none"/>
        </w:rPr>
        <w:fldChar w:fldCharType="separate"/>
      </w:r>
      <w:r>
        <w:rPr>
          <w:rFonts w:hint="default" w:ascii="黑体"/>
          <w:color w:val="auto"/>
          <w:highlight w:val="none"/>
        </w:rPr>
        <w:t xml:space="preserve">第四章 </w:t>
      </w:r>
      <w:r>
        <w:rPr>
          <w:rFonts w:hint="eastAsia"/>
          <w:color w:val="auto"/>
          <w:highlight w:val="none"/>
        </w:rPr>
        <w:t>合同条款及格式</w:t>
      </w:r>
      <w:r>
        <w:rPr>
          <w:color w:val="auto"/>
          <w:highlight w:val="none"/>
        </w:rPr>
        <w:tab/>
      </w:r>
      <w:r>
        <w:rPr>
          <w:color w:val="auto"/>
          <w:highlight w:val="none"/>
        </w:rPr>
        <w:fldChar w:fldCharType="end"/>
      </w:r>
      <w:r>
        <w:rPr>
          <w:rFonts w:hint="eastAsia"/>
          <w:color w:val="auto"/>
          <w:highlight w:val="none"/>
          <w:lang w:val="en-US" w:eastAsia="zh-CN"/>
        </w:rPr>
        <w:t>14</w:t>
      </w:r>
    </w:p>
    <w:p>
      <w:pPr>
        <w:pStyle w:val="37"/>
        <w:tabs>
          <w:tab w:val="right" w:leader="dot" w:pos="9638"/>
        </w:tabs>
        <w:rPr>
          <w:rFonts w:hint="eastAsia" w:eastAsia="仿宋_GB2312"/>
          <w:color w:val="auto"/>
          <w:highlight w:val="none"/>
          <w:lang w:val="en-US" w:eastAsia="zh-CN"/>
        </w:rPr>
      </w:pPr>
      <w:r>
        <w:rPr>
          <w:color w:val="auto"/>
          <w:highlight w:val="none"/>
        </w:rPr>
        <w:fldChar w:fldCharType="begin"/>
      </w:r>
      <w:r>
        <w:rPr>
          <w:color w:val="auto"/>
          <w:highlight w:val="none"/>
        </w:rPr>
        <w:instrText xml:space="preserve"> HYPERLINK \l _Toc13029 </w:instrText>
      </w:r>
      <w:r>
        <w:rPr>
          <w:color w:val="auto"/>
          <w:highlight w:val="none"/>
        </w:rPr>
        <w:fldChar w:fldCharType="separate"/>
      </w:r>
      <w:r>
        <w:rPr>
          <w:rFonts w:hint="default" w:ascii="黑体"/>
          <w:color w:val="auto"/>
          <w:highlight w:val="none"/>
        </w:rPr>
        <w:t xml:space="preserve">第五章 </w:t>
      </w:r>
      <w:r>
        <w:rPr>
          <w:rFonts w:hint="eastAsia" w:ascii="黑体"/>
          <w:color w:val="auto"/>
          <w:highlight w:val="none"/>
          <w:lang w:val="en-US" w:eastAsia="zh-CN"/>
        </w:rPr>
        <w:t>总</w:t>
      </w:r>
      <w:r>
        <w:rPr>
          <w:rFonts w:hint="eastAsia"/>
          <w:color w:val="auto"/>
          <w:highlight w:val="none"/>
          <w:lang w:val="en-US" w:eastAsia="zh-CN"/>
        </w:rPr>
        <w:t>策划及邀约作品内容要求</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9</w:t>
      </w:r>
    </w:p>
    <w:p>
      <w:pPr>
        <w:pStyle w:val="37"/>
        <w:tabs>
          <w:tab w:val="right" w:leader="dot" w:pos="9638"/>
        </w:tabs>
        <w:rPr>
          <w:rFonts w:hint="eastAsia" w:eastAsia="仿宋_GB2312"/>
          <w:color w:val="auto"/>
          <w:highlight w:val="none"/>
          <w:lang w:val="en-US" w:eastAsia="zh-CN"/>
        </w:rPr>
      </w:pPr>
      <w:r>
        <w:rPr>
          <w:color w:val="auto"/>
          <w:highlight w:val="none"/>
        </w:rPr>
        <w:fldChar w:fldCharType="begin"/>
      </w:r>
      <w:r>
        <w:rPr>
          <w:color w:val="auto"/>
          <w:highlight w:val="none"/>
        </w:rPr>
        <w:instrText xml:space="preserve"> HYPERLINK \l _Toc21615 </w:instrText>
      </w:r>
      <w:r>
        <w:rPr>
          <w:color w:val="auto"/>
          <w:highlight w:val="none"/>
        </w:rPr>
        <w:fldChar w:fldCharType="separate"/>
      </w:r>
      <w:r>
        <w:rPr>
          <w:rFonts w:hint="default" w:ascii="黑体"/>
          <w:color w:val="auto"/>
          <w:highlight w:val="none"/>
        </w:rPr>
        <w:t xml:space="preserve">第六章 </w:t>
      </w:r>
      <w:r>
        <w:rPr>
          <w:rFonts w:hint="eastAsia"/>
          <w:color w:val="auto"/>
          <w:highlight w:val="none"/>
          <w:lang w:eastAsia="zh-CN"/>
        </w:rPr>
        <w:t>参选</w:t>
      </w:r>
      <w:r>
        <w:rPr>
          <w:rFonts w:hint="eastAsia"/>
          <w:color w:val="auto"/>
          <w:highlight w:val="none"/>
        </w:rPr>
        <w:t>文件格式</w:t>
      </w:r>
      <w:r>
        <w:rPr>
          <w:color w:val="auto"/>
          <w:highlight w:val="none"/>
        </w:rPr>
        <w:tab/>
      </w:r>
      <w:r>
        <w:rPr>
          <w:rFonts w:hint="eastAsia"/>
          <w:color w:val="auto"/>
          <w:highlight w:val="none"/>
          <w:lang w:val="en-US" w:eastAsia="zh-CN"/>
        </w:rPr>
        <w:t>2</w:t>
      </w:r>
      <w:r>
        <w:rPr>
          <w:color w:val="auto"/>
          <w:highlight w:val="none"/>
        </w:rPr>
        <w:fldChar w:fldCharType="end"/>
      </w:r>
      <w:r>
        <w:rPr>
          <w:rFonts w:hint="eastAsia"/>
          <w:color w:val="auto"/>
          <w:highlight w:val="none"/>
          <w:lang w:val="en-US" w:eastAsia="zh-CN"/>
        </w:rPr>
        <w:t>0</w:t>
      </w:r>
    </w:p>
    <w:p>
      <w:pPr>
        <w:pStyle w:val="4"/>
        <w:spacing w:line="240" w:lineRule="atLeast"/>
        <w:jc w:val="center"/>
        <w:rPr>
          <w:color w:val="auto"/>
          <w:highlight w:val="none"/>
        </w:rPr>
      </w:pPr>
      <w:r>
        <w:rPr>
          <w:color w:val="auto"/>
          <w:highlight w:val="none"/>
        </w:rPr>
        <w:fldChar w:fldCharType="end"/>
      </w:r>
    </w:p>
    <w:p>
      <w:pPr>
        <w:pStyle w:val="21"/>
        <w:jc w:val="center"/>
        <w:rPr>
          <w:color w:val="auto"/>
          <w:highlight w:val="none"/>
        </w:rPr>
      </w:pPr>
    </w:p>
    <w:bookmarkEnd w:id="0"/>
    <w:bookmarkEnd w:id="1"/>
    <w:bookmarkEnd w:id="2"/>
    <w:bookmarkEnd w:id="3"/>
    <w:p>
      <w:pPr>
        <w:pStyle w:val="4"/>
        <w:spacing w:line="240" w:lineRule="atLeast"/>
        <w:jc w:val="center"/>
        <w:rPr>
          <w:rFonts w:hint="eastAsia" w:ascii="宋体" w:hAnsi="宋体" w:cs="MingLiU"/>
          <w:b/>
          <w:bCs/>
          <w:color w:val="auto"/>
          <w:w w:val="99"/>
          <w:kern w:val="0"/>
          <w:sz w:val="36"/>
          <w:szCs w:val="36"/>
          <w:highlight w:val="none"/>
          <w:lang w:eastAsia="zh-CN"/>
        </w:rPr>
        <w:sectPr>
          <w:footerReference r:id="rId7" w:type="first"/>
          <w:footerReference r:id="rId6"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bookmarkStart w:id="4" w:name="_Hlk134264953"/>
    </w:p>
    <w:p>
      <w:pPr>
        <w:pStyle w:val="3"/>
        <w:bidi w:val="0"/>
        <w:ind w:left="5100" w:leftChars="0" w:firstLineChars="0"/>
        <w:jc w:val="left"/>
        <w:rPr>
          <w:rFonts w:hint="eastAsia"/>
          <w:color w:val="auto"/>
          <w:highlight w:val="none"/>
          <w:lang w:eastAsia="zh-CN"/>
        </w:rPr>
      </w:pPr>
      <w:bookmarkStart w:id="5" w:name="_Toc21058"/>
      <w:bookmarkStart w:id="6" w:name="OLE_LINK2"/>
      <w:r>
        <w:rPr>
          <w:rFonts w:hint="eastAsia"/>
          <w:color w:val="auto"/>
          <w:highlight w:val="none"/>
          <w:lang w:val="en-US" w:eastAsia="zh-CN"/>
        </w:rPr>
        <w:t>比选公告</w:t>
      </w:r>
      <w:bookmarkEnd w:id="5"/>
    </w:p>
    <w:p>
      <w:pPr>
        <w:pStyle w:val="5"/>
        <w:spacing w:before="0" w:line="360" w:lineRule="auto"/>
        <w:rPr>
          <w:rFonts w:hint="eastAsia" w:ascii="宋体" w:hAnsi="宋体" w:eastAsia="宋体"/>
          <w:snapToGrid w:val="0"/>
          <w:color w:val="auto"/>
          <w:sz w:val="22"/>
          <w:szCs w:val="22"/>
          <w:highlight w:val="none"/>
        </w:rPr>
      </w:pPr>
      <w:bookmarkStart w:id="7" w:name="_Toc443576770"/>
      <w:bookmarkStart w:id="8" w:name="_Toc224103315"/>
      <w:r>
        <w:rPr>
          <w:rFonts w:hint="eastAsia" w:ascii="宋体" w:hAnsi="宋体" w:eastAsia="宋体"/>
          <w:snapToGrid w:val="0"/>
          <w:color w:val="auto"/>
          <w:sz w:val="22"/>
          <w:szCs w:val="22"/>
          <w:highlight w:val="none"/>
        </w:rPr>
        <w:t xml:space="preserve">1．比选条件 </w:t>
      </w:r>
    </w:p>
    <w:p>
      <w:pPr>
        <w:pStyle w:val="5"/>
        <w:tabs>
          <w:tab w:val="right" w:pos="9970"/>
        </w:tabs>
        <w:spacing w:before="0" w:line="360" w:lineRule="auto"/>
        <w:ind w:firstLine="400" w:firstLineChars="200"/>
        <w:rPr>
          <w:rFonts w:ascii="宋体" w:hAnsi="宋体" w:eastAsia="宋体" w:cs="宋体"/>
          <w:b w:val="0"/>
          <w:bCs/>
          <w:color w:val="auto"/>
          <w:sz w:val="20"/>
          <w:szCs w:val="20"/>
          <w:highlight w:val="none"/>
        </w:rPr>
      </w:pPr>
      <w:bookmarkStart w:id="9" w:name="_Toc214434226"/>
      <w:bookmarkStart w:id="10" w:name="_Toc443576764"/>
      <w:r>
        <w:rPr>
          <w:rFonts w:hint="eastAsia" w:ascii="宋体" w:hAnsi="宋体" w:eastAsia="宋体" w:cs="宋体"/>
          <w:b w:val="0"/>
          <w:bCs/>
          <w:color w:val="auto"/>
          <w:sz w:val="20"/>
          <w:szCs w:val="20"/>
          <w:highlight w:val="none"/>
        </w:rPr>
        <w:t>本比选项目</w:t>
      </w:r>
      <w:r>
        <w:rPr>
          <w:rFonts w:hint="eastAsia" w:ascii="宋体" w:hAnsi="宋体" w:eastAsia="宋体" w:cs="宋体"/>
          <w:b w:val="0"/>
          <w:bCs/>
          <w:color w:val="auto"/>
          <w:sz w:val="20"/>
          <w:szCs w:val="20"/>
          <w:highlight w:val="none"/>
          <w:u w:val="single"/>
          <w:lang w:val="en-US" w:eastAsia="zh-CN"/>
        </w:rPr>
        <w:t>2026年重庆之夜·</w:t>
      </w:r>
      <w:r>
        <w:rPr>
          <w:rFonts w:hint="eastAsia" w:ascii="宋体" w:hAnsi="宋体" w:eastAsia="宋体" w:cs="宋体"/>
          <w:b w:val="0"/>
          <w:bCs/>
          <w:color w:val="auto"/>
          <w:sz w:val="20"/>
          <w:szCs w:val="20"/>
          <w:highlight w:val="none"/>
          <w:u w:val="single"/>
          <w:lang w:eastAsia="zh-CN"/>
        </w:rPr>
        <w:t>国际光影文化旅游季</w:t>
      </w:r>
      <w:r>
        <w:rPr>
          <w:rFonts w:hint="eastAsia" w:ascii="宋体" w:hAnsi="宋体" w:eastAsia="宋体" w:cs="宋体"/>
          <w:b w:val="0"/>
          <w:bCs/>
          <w:color w:val="auto"/>
          <w:sz w:val="20"/>
          <w:szCs w:val="20"/>
          <w:highlight w:val="none"/>
          <w:u w:val="single"/>
          <w:lang w:val="en-US" w:eastAsia="zh-CN"/>
        </w:rPr>
        <w:t>总</w:t>
      </w:r>
      <w:r>
        <w:rPr>
          <w:rFonts w:hint="eastAsia" w:ascii="宋体" w:hAnsi="宋体" w:eastAsia="宋体" w:cs="宋体"/>
          <w:b w:val="0"/>
          <w:bCs/>
          <w:color w:val="auto"/>
          <w:sz w:val="20"/>
          <w:szCs w:val="20"/>
          <w:highlight w:val="none"/>
          <w:u w:val="single"/>
          <w:lang w:eastAsia="zh-CN"/>
        </w:rPr>
        <w:t>策划</w:t>
      </w:r>
      <w:r>
        <w:rPr>
          <w:rFonts w:hint="eastAsia" w:ascii="宋体" w:hAnsi="宋体" w:eastAsia="宋体" w:cs="宋体"/>
          <w:b w:val="0"/>
          <w:bCs/>
          <w:color w:val="auto"/>
          <w:sz w:val="20"/>
          <w:szCs w:val="20"/>
          <w:highlight w:val="none"/>
          <w:u w:val="single"/>
          <w:lang w:val="en-US" w:eastAsia="zh-CN"/>
        </w:rPr>
        <w:t>编制</w:t>
      </w:r>
      <w:r>
        <w:rPr>
          <w:rFonts w:hint="eastAsia" w:ascii="宋体" w:hAnsi="宋体" w:eastAsia="宋体" w:cs="宋体"/>
          <w:b w:val="0"/>
          <w:bCs/>
          <w:color w:val="auto"/>
          <w:sz w:val="20"/>
          <w:szCs w:val="20"/>
          <w:highlight w:val="none"/>
          <w:u w:val="single"/>
          <w:lang w:eastAsia="zh-CN"/>
        </w:rPr>
        <w:t>及</w:t>
      </w:r>
      <w:r>
        <w:rPr>
          <w:rFonts w:hint="eastAsia" w:ascii="宋体" w:hAnsi="宋体" w:eastAsia="宋体" w:cs="宋体"/>
          <w:b w:val="0"/>
          <w:bCs/>
          <w:color w:val="auto"/>
          <w:sz w:val="20"/>
          <w:szCs w:val="20"/>
          <w:highlight w:val="none"/>
          <w:u w:val="single"/>
          <w:lang w:val="en-US" w:eastAsia="zh-CN"/>
        </w:rPr>
        <w:t>内容设计</w:t>
      </w:r>
      <w:r>
        <w:rPr>
          <w:rFonts w:hint="eastAsia" w:ascii="宋体" w:hAnsi="宋体" w:eastAsia="宋体" w:cs="宋体"/>
          <w:b w:val="0"/>
          <w:bCs/>
          <w:color w:val="auto"/>
          <w:sz w:val="20"/>
          <w:szCs w:val="20"/>
          <w:highlight w:val="none"/>
          <w:u w:val="single"/>
          <w:lang w:eastAsia="zh-CN"/>
        </w:rPr>
        <w:t>采购</w:t>
      </w:r>
      <w:r>
        <w:rPr>
          <w:rFonts w:hint="eastAsia" w:ascii="宋体" w:hAnsi="宋体" w:eastAsia="宋体" w:cs="宋体"/>
          <w:b w:val="0"/>
          <w:bCs/>
          <w:color w:val="auto"/>
          <w:sz w:val="20"/>
          <w:szCs w:val="20"/>
          <w:highlight w:val="none"/>
          <w:u w:val="none"/>
          <w:lang w:eastAsia="zh-CN"/>
        </w:rPr>
        <w:t>，</w:t>
      </w:r>
      <w:r>
        <w:rPr>
          <w:rFonts w:hint="eastAsia" w:ascii="宋体" w:hAnsi="宋体" w:eastAsia="宋体" w:cs="宋体"/>
          <w:b w:val="0"/>
          <w:bCs/>
          <w:color w:val="auto"/>
          <w:sz w:val="20"/>
          <w:szCs w:val="20"/>
          <w:highlight w:val="none"/>
        </w:rPr>
        <w:t>项目业主为</w:t>
      </w:r>
      <w:r>
        <w:rPr>
          <w:rFonts w:hint="eastAsia" w:ascii="宋体" w:hAnsi="宋体" w:eastAsia="宋体" w:cs="宋体"/>
          <w:b w:val="0"/>
          <w:bCs/>
          <w:color w:val="auto"/>
          <w:sz w:val="20"/>
          <w:szCs w:val="20"/>
          <w:highlight w:val="none"/>
          <w:u w:val="single"/>
          <w:lang w:eastAsia="zh-CN"/>
        </w:rPr>
        <w:t>重庆山水城文化旅游发展有限公司</w:t>
      </w:r>
      <w:r>
        <w:rPr>
          <w:rFonts w:hint="eastAsia" w:ascii="宋体" w:hAnsi="宋体" w:eastAsia="宋体" w:cs="宋体"/>
          <w:b w:val="0"/>
          <w:bCs/>
          <w:color w:val="auto"/>
          <w:sz w:val="20"/>
          <w:szCs w:val="20"/>
          <w:highlight w:val="none"/>
        </w:rPr>
        <w:t>，资金来源为</w:t>
      </w:r>
      <w:r>
        <w:rPr>
          <w:rFonts w:hint="eastAsia" w:ascii="宋体" w:hAnsi="宋体" w:eastAsia="宋体" w:cs="宋体"/>
          <w:b w:val="0"/>
          <w:bCs/>
          <w:color w:val="auto"/>
          <w:sz w:val="20"/>
          <w:szCs w:val="20"/>
          <w:highlight w:val="none"/>
          <w:u w:val="single"/>
          <w:lang w:val="en-US" w:eastAsia="zh-CN"/>
        </w:rPr>
        <w:t>业主自筹</w:t>
      </w:r>
      <w:r>
        <w:rPr>
          <w:rFonts w:hint="eastAsia" w:ascii="宋体" w:hAnsi="宋体" w:eastAsia="宋体" w:cs="宋体"/>
          <w:b w:val="0"/>
          <w:bCs/>
          <w:color w:val="auto"/>
          <w:sz w:val="20"/>
          <w:szCs w:val="20"/>
          <w:highlight w:val="none"/>
        </w:rPr>
        <w:t>，比选人为</w:t>
      </w:r>
      <w:r>
        <w:rPr>
          <w:rFonts w:hint="eastAsia" w:ascii="宋体" w:hAnsi="宋体" w:eastAsia="宋体" w:cs="宋体"/>
          <w:b w:val="0"/>
          <w:bCs/>
          <w:color w:val="auto"/>
          <w:sz w:val="20"/>
          <w:szCs w:val="20"/>
          <w:highlight w:val="none"/>
          <w:u w:val="single"/>
          <w:lang w:eastAsia="zh-CN"/>
        </w:rPr>
        <w:t>重庆山水城文化旅游发展有限公司</w:t>
      </w:r>
      <w:r>
        <w:rPr>
          <w:rFonts w:hint="eastAsia" w:ascii="宋体" w:hAnsi="宋体" w:eastAsia="宋体" w:cs="宋体"/>
          <w:b w:val="0"/>
          <w:bCs/>
          <w:color w:val="auto"/>
          <w:sz w:val="20"/>
          <w:szCs w:val="20"/>
          <w:highlight w:val="none"/>
          <w:u w:val="none"/>
          <w:lang w:eastAsia="zh-CN"/>
        </w:rPr>
        <w:t>，</w:t>
      </w:r>
      <w:r>
        <w:rPr>
          <w:rFonts w:hint="eastAsia" w:ascii="宋体" w:hAnsi="宋体" w:eastAsia="宋体" w:cs="宋体"/>
          <w:b w:val="0"/>
          <w:bCs/>
          <w:color w:val="auto"/>
          <w:sz w:val="20"/>
          <w:szCs w:val="20"/>
          <w:highlight w:val="none"/>
        </w:rPr>
        <w:t>本项目已具备比选条件，</w:t>
      </w:r>
      <w:r>
        <w:rPr>
          <w:rFonts w:hint="eastAsia" w:ascii="宋体" w:hAnsi="宋体" w:eastAsia="宋体" w:cs="宋体"/>
          <w:b w:val="0"/>
          <w:bCs/>
          <w:color w:val="auto"/>
          <w:sz w:val="20"/>
          <w:szCs w:val="20"/>
          <w:highlight w:val="none"/>
          <w:lang w:val="en-US" w:eastAsia="zh-CN"/>
        </w:rPr>
        <w:t>现</w:t>
      </w:r>
      <w:r>
        <w:rPr>
          <w:rFonts w:hint="eastAsia" w:ascii="宋体" w:hAnsi="宋体" w:eastAsia="宋体" w:cs="宋体"/>
          <w:b w:val="0"/>
          <w:bCs/>
          <w:color w:val="auto"/>
          <w:sz w:val="20"/>
          <w:szCs w:val="20"/>
          <w:highlight w:val="none"/>
        </w:rPr>
        <w:t>对该</w:t>
      </w:r>
      <w:r>
        <w:rPr>
          <w:rFonts w:hint="eastAsia" w:ascii="宋体" w:hAnsi="宋体" w:eastAsia="宋体" w:cs="宋体"/>
          <w:b w:val="0"/>
          <w:bCs/>
          <w:color w:val="auto"/>
          <w:sz w:val="20"/>
          <w:szCs w:val="20"/>
          <w:highlight w:val="none"/>
          <w:lang w:val="en-US" w:eastAsia="zh-CN"/>
        </w:rPr>
        <w:t>批投影仪租赁</w:t>
      </w:r>
      <w:r>
        <w:rPr>
          <w:rFonts w:hint="eastAsia" w:ascii="宋体" w:hAnsi="宋体" w:eastAsia="宋体" w:cs="宋体"/>
          <w:b w:val="0"/>
          <w:bCs/>
          <w:color w:val="auto"/>
          <w:sz w:val="20"/>
          <w:szCs w:val="20"/>
          <w:highlight w:val="none"/>
        </w:rPr>
        <w:t>进行</w:t>
      </w:r>
      <w:r>
        <w:rPr>
          <w:rFonts w:hint="eastAsia" w:ascii="宋体" w:hAnsi="宋体" w:eastAsia="宋体" w:cs="宋体"/>
          <w:b w:val="0"/>
          <w:bCs/>
          <w:color w:val="auto"/>
          <w:sz w:val="20"/>
          <w:szCs w:val="20"/>
          <w:highlight w:val="none"/>
          <w:lang w:eastAsia="zh-CN"/>
        </w:rPr>
        <w:t>公开</w:t>
      </w:r>
      <w:r>
        <w:rPr>
          <w:rFonts w:hint="eastAsia" w:ascii="宋体" w:hAnsi="宋体" w:eastAsia="宋体" w:cs="宋体"/>
          <w:b w:val="0"/>
          <w:bCs/>
          <w:color w:val="auto"/>
          <w:sz w:val="20"/>
          <w:szCs w:val="20"/>
          <w:highlight w:val="none"/>
        </w:rPr>
        <w:t>比选。</w:t>
      </w:r>
    </w:p>
    <w:p>
      <w:pPr>
        <w:pStyle w:val="5"/>
        <w:spacing w:before="0" w:line="360" w:lineRule="auto"/>
        <w:rPr>
          <w:rFonts w:hint="eastAsia" w:ascii="宋体" w:hAnsi="宋体" w:cs="宋体"/>
          <w:b w:val="0"/>
          <w:bCs/>
          <w:color w:val="auto"/>
          <w:sz w:val="22"/>
          <w:szCs w:val="20"/>
          <w:highlight w:val="none"/>
        </w:rPr>
      </w:pPr>
      <w:r>
        <w:rPr>
          <w:rFonts w:hint="eastAsia" w:ascii="宋体" w:hAnsi="宋体" w:eastAsia="宋体"/>
          <w:snapToGrid w:val="0"/>
          <w:color w:val="auto"/>
          <w:sz w:val="22"/>
          <w:szCs w:val="22"/>
          <w:highlight w:val="none"/>
        </w:rPr>
        <w:t>2．项目概况与比选范围</w:t>
      </w:r>
      <w:bookmarkEnd w:id="9"/>
      <w:bookmarkEnd w:id="10"/>
      <w:r>
        <w:rPr>
          <w:rFonts w:hint="eastAsia" w:ascii="宋体" w:hAnsi="宋体" w:eastAsia="宋体"/>
          <w:snapToGrid w:val="0"/>
          <w:color w:val="auto"/>
          <w:sz w:val="22"/>
          <w:szCs w:val="22"/>
          <w:highlight w:val="none"/>
        </w:rPr>
        <w:t xml:space="preserve"> </w:t>
      </w:r>
      <w:r>
        <w:rPr>
          <w:rFonts w:ascii="宋体" w:hAnsi="宋体" w:cs="宋体"/>
          <w:b w:val="0"/>
          <w:bCs/>
          <w:color w:val="auto"/>
          <w:sz w:val="22"/>
          <w:szCs w:val="20"/>
          <w:highlight w:val="none"/>
        </w:rPr>
        <w:tab/>
      </w:r>
    </w:p>
    <w:p>
      <w:pPr>
        <w:spacing w:line="360" w:lineRule="auto"/>
        <w:ind w:firstLine="400" w:firstLineChars="200"/>
        <w:jc w:val="left"/>
        <w:rPr>
          <w:rFonts w:hint="default" w:ascii="宋体" w:hAnsi="宋体" w:cs="宋体"/>
          <w:bCs/>
          <w:color w:val="auto"/>
          <w:kern w:val="0"/>
          <w:sz w:val="20"/>
          <w:szCs w:val="20"/>
          <w:highlight w:val="none"/>
          <w:u w:val="single"/>
          <w:lang w:val="en-US"/>
        </w:rPr>
      </w:pPr>
      <w:r>
        <w:rPr>
          <w:rFonts w:hint="eastAsia" w:ascii="宋体" w:hAnsi="宋体" w:cs="宋体"/>
          <w:bCs/>
          <w:color w:val="auto"/>
          <w:kern w:val="0"/>
          <w:sz w:val="20"/>
          <w:szCs w:val="20"/>
          <w:highlight w:val="none"/>
        </w:rPr>
        <w:t>2.1 项目地点：</w:t>
      </w:r>
      <w:r>
        <w:rPr>
          <w:rFonts w:hint="eastAsia" w:ascii="宋体" w:hAnsi="宋体" w:cs="宋体"/>
          <w:bCs/>
          <w:color w:val="auto"/>
          <w:kern w:val="0"/>
          <w:sz w:val="20"/>
          <w:szCs w:val="20"/>
          <w:highlight w:val="none"/>
          <w:u w:val="single"/>
          <w:lang w:val="en-US" w:eastAsia="zh-CN"/>
        </w:rPr>
        <w:t>重庆市两江新区、渝中区</w:t>
      </w:r>
    </w:p>
    <w:p>
      <w:pPr>
        <w:tabs>
          <w:tab w:val="left" w:pos="7170"/>
        </w:tabs>
        <w:spacing w:line="360" w:lineRule="auto"/>
        <w:ind w:right="-365" w:rightChars="-174" w:firstLine="384" w:firstLineChars="192"/>
        <w:rPr>
          <w:rFonts w:hint="eastAsia" w:ascii="宋体" w:hAnsi="宋体" w:cs="宋体"/>
          <w:bCs/>
          <w:color w:val="auto"/>
          <w:kern w:val="0"/>
          <w:sz w:val="20"/>
          <w:szCs w:val="20"/>
          <w:highlight w:val="none"/>
        </w:rPr>
      </w:pPr>
      <w:r>
        <w:rPr>
          <w:rFonts w:hint="eastAsia" w:ascii="宋体" w:hAnsi="宋体" w:cs="宋体"/>
          <w:bCs/>
          <w:color w:val="auto"/>
          <w:kern w:val="0"/>
          <w:sz w:val="20"/>
          <w:szCs w:val="20"/>
          <w:highlight w:val="none"/>
        </w:rPr>
        <w:t>2.2项目内容如下：</w:t>
      </w:r>
    </w:p>
    <w:p>
      <w:pPr>
        <w:pStyle w:val="2"/>
        <w:rPr>
          <w:rFonts w:hint="default"/>
          <w:lang w:val="en-US" w:eastAsia="zh-CN"/>
        </w:rPr>
      </w:pPr>
      <w:r>
        <w:rPr>
          <w:rFonts w:hint="eastAsia" w:ascii="宋体" w:hAnsi="宋体" w:cs="宋体"/>
          <w:bCs/>
          <w:color w:val="auto"/>
          <w:kern w:val="0"/>
          <w:sz w:val="20"/>
          <w:szCs w:val="20"/>
          <w:highlight w:val="none"/>
          <w:lang w:val="en-US" w:eastAsia="zh-CN"/>
        </w:rPr>
        <w:t>对2026年重庆之夜·国际光影文化旅游季进行总策划编制并就光影作品内容进行设计（内容设计拟邀请24个国内外团队对24个光影作品内容进行设计制作并按照支付补偿费用的方式进行），总策划编制及拟已邀约光影作品内容要求详见第五章。</w:t>
      </w:r>
    </w:p>
    <w:p>
      <w:pPr>
        <w:spacing w:line="360" w:lineRule="auto"/>
        <w:ind w:firstLine="400" w:firstLineChars="200"/>
        <w:jc w:val="left"/>
        <w:rPr>
          <w:rFonts w:hint="default" w:ascii="宋体" w:hAnsi="宋体" w:cs="宋体"/>
          <w:bCs/>
          <w:color w:val="auto"/>
          <w:kern w:val="0"/>
          <w:sz w:val="20"/>
          <w:szCs w:val="20"/>
          <w:highlight w:val="none"/>
          <w:lang w:val="en-US"/>
        </w:rPr>
      </w:pPr>
      <w:r>
        <w:rPr>
          <w:rFonts w:hint="eastAsia" w:ascii="宋体" w:hAnsi="宋体" w:cs="宋体"/>
          <w:bCs/>
          <w:color w:val="auto"/>
          <w:kern w:val="0"/>
          <w:sz w:val="20"/>
          <w:szCs w:val="20"/>
          <w:highlight w:val="none"/>
        </w:rPr>
        <w:t>2.3比选范围：</w:t>
      </w:r>
      <w:bookmarkStart w:id="11" w:name="OLE_LINK4"/>
      <w:r>
        <w:rPr>
          <w:rFonts w:hint="eastAsia" w:ascii="宋体" w:hAnsi="宋体" w:cs="宋体"/>
          <w:bCs/>
          <w:color w:val="auto"/>
          <w:kern w:val="0"/>
          <w:sz w:val="20"/>
          <w:szCs w:val="20"/>
          <w:highlight w:val="none"/>
          <w:lang w:val="en-US" w:eastAsia="zh-CN"/>
        </w:rPr>
        <w:t>对2026年重庆之夜·国际光影文化旅游季总策划编制进行比选，中选人除按照总策划编制要求和中选价格进行策划编制外需按照比选人确定的2026年重庆之夜·国际光影文化旅游季光影作品内容邀约补充明细表进行作品邀约并支付给作品创作团队相应的费用。</w:t>
      </w:r>
      <w:bookmarkEnd w:id="11"/>
    </w:p>
    <w:p>
      <w:pPr>
        <w:spacing w:line="360" w:lineRule="auto"/>
        <w:ind w:right="-441" w:rightChars="-210" w:firstLine="400" w:firstLineChars="200"/>
        <w:rPr>
          <w:rFonts w:hint="default"/>
          <w:color w:val="000000"/>
          <w:szCs w:val="21"/>
          <w:lang w:val="en-US" w:eastAsia="zh-CN"/>
        </w:rPr>
      </w:pPr>
      <w:r>
        <w:rPr>
          <w:rFonts w:hint="eastAsia" w:ascii="宋体" w:hAnsi="宋体" w:cs="宋体"/>
          <w:color w:val="auto"/>
          <w:sz w:val="20"/>
          <w:szCs w:val="20"/>
          <w:highlight w:val="none"/>
        </w:rPr>
        <w:t xml:space="preserve">2.4 </w:t>
      </w:r>
      <w:r>
        <w:rPr>
          <w:rFonts w:hint="eastAsia" w:ascii="宋体" w:hAnsi="宋体" w:cs="宋体"/>
          <w:color w:val="auto"/>
          <w:sz w:val="20"/>
          <w:szCs w:val="20"/>
          <w:highlight w:val="none"/>
          <w:lang w:val="en-US" w:eastAsia="zh-CN"/>
        </w:rPr>
        <w:t>时间要求：</w:t>
      </w:r>
      <w:r>
        <w:rPr>
          <w:rFonts w:hint="eastAsia" w:ascii="宋体" w:hAnsi="宋体" w:cs="宋体"/>
          <w:bCs/>
          <w:color w:val="auto"/>
          <w:kern w:val="0"/>
          <w:sz w:val="20"/>
          <w:szCs w:val="20"/>
          <w:highlight w:val="none"/>
          <w:lang w:val="en-US" w:eastAsia="zh-CN"/>
        </w:rPr>
        <w:t>2025年12月31日前完成总策划编制、光影作品邀约及效果呈现。</w:t>
      </w:r>
    </w:p>
    <w:p>
      <w:pPr>
        <w:pStyle w:val="5"/>
        <w:spacing w:before="0" w:line="360" w:lineRule="auto"/>
        <w:rPr>
          <w:rFonts w:hint="eastAsia" w:ascii="宋体" w:hAnsi="宋体" w:eastAsia="宋体"/>
          <w:snapToGrid w:val="0"/>
          <w:color w:val="auto"/>
          <w:sz w:val="22"/>
          <w:szCs w:val="22"/>
          <w:highlight w:val="none"/>
        </w:rPr>
      </w:pPr>
      <w:bookmarkStart w:id="12" w:name="_Toc443576765"/>
      <w:r>
        <w:rPr>
          <w:rFonts w:hint="eastAsia" w:ascii="宋体" w:hAnsi="宋体" w:eastAsia="宋体"/>
          <w:snapToGrid w:val="0"/>
          <w:color w:val="auto"/>
          <w:sz w:val="22"/>
          <w:szCs w:val="22"/>
          <w:highlight w:val="none"/>
        </w:rPr>
        <w:t>3.</w:t>
      </w:r>
      <w:r>
        <w:rPr>
          <w:rFonts w:hint="eastAsia" w:ascii="宋体" w:hAnsi="宋体" w:eastAsia="宋体"/>
          <w:snapToGrid w:val="0"/>
          <w:color w:val="auto"/>
          <w:sz w:val="22"/>
          <w:szCs w:val="22"/>
          <w:highlight w:val="none"/>
          <w:lang w:eastAsia="zh-CN"/>
        </w:rPr>
        <w:t>参选</w:t>
      </w:r>
      <w:r>
        <w:rPr>
          <w:rFonts w:hint="eastAsia" w:ascii="宋体" w:hAnsi="宋体" w:eastAsia="宋体"/>
          <w:snapToGrid w:val="0"/>
          <w:color w:val="auto"/>
          <w:sz w:val="22"/>
          <w:szCs w:val="22"/>
          <w:highlight w:val="none"/>
        </w:rPr>
        <w:t>人资格要求</w:t>
      </w:r>
      <w:bookmarkEnd w:id="12"/>
    </w:p>
    <w:p>
      <w:pPr>
        <w:pStyle w:val="5"/>
        <w:spacing w:before="0" w:line="360" w:lineRule="auto"/>
        <w:ind w:firstLine="400" w:firstLineChars="200"/>
        <w:rPr>
          <w:rFonts w:hint="eastAsia" w:ascii="宋体" w:hAnsi="宋体" w:eastAsia="宋体" w:cs="宋体"/>
          <w:b w:val="0"/>
          <w:color w:val="auto"/>
          <w:kern w:val="2"/>
          <w:sz w:val="20"/>
          <w:szCs w:val="20"/>
          <w:highlight w:val="none"/>
          <w:lang w:val="en-US" w:eastAsia="zh-CN" w:bidi="ar-SA"/>
        </w:rPr>
      </w:pPr>
      <w:bookmarkStart w:id="13" w:name="_Toc443576766"/>
      <w:r>
        <w:rPr>
          <w:rFonts w:hint="eastAsia" w:ascii="宋体" w:hAnsi="宋体" w:eastAsia="宋体" w:cs="宋体"/>
          <w:b w:val="0"/>
          <w:color w:val="auto"/>
          <w:kern w:val="2"/>
          <w:sz w:val="20"/>
          <w:szCs w:val="20"/>
          <w:highlight w:val="none"/>
          <w:lang w:val="en-US" w:eastAsia="zh-CN" w:bidi="ar-SA"/>
        </w:rPr>
        <w:t>详见第二章第10条“参选人资质条件、能力和信誉”</w:t>
      </w:r>
    </w:p>
    <w:p>
      <w:pPr>
        <w:pStyle w:val="5"/>
        <w:spacing w:before="0" w:line="360" w:lineRule="auto"/>
        <w:rPr>
          <w:rFonts w:hint="eastAsia" w:ascii="宋体" w:hAnsi="宋体" w:eastAsia="宋体"/>
          <w:snapToGrid w:val="0"/>
          <w:color w:val="auto"/>
          <w:sz w:val="22"/>
          <w:szCs w:val="22"/>
          <w:highlight w:val="none"/>
        </w:rPr>
      </w:pPr>
      <w:r>
        <w:rPr>
          <w:rFonts w:hint="eastAsia" w:ascii="宋体" w:hAnsi="宋体" w:eastAsia="宋体"/>
          <w:snapToGrid w:val="0"/>
          <w:color w:val="auto"/>
          <w:sz w:val="22"/>
          <w:szCs w:val="22"/>
          <w:highlight w:val="none"/>
        </w:rPr>
        <w:t>4.比选文件的获取</w:t>
      </w:r>
      <w:bookmarkEnd w:id="13"/>
    </w:p>
    <w:p>
      <w:pPr>
        <w:tabs>
          <w:tab w:val="left" w:pos="3045"/>
          <w:tab w:val="left" w:pos="8310"/>
        </w:tabs>
        <w:autoSpaceDE w:val="0"/>
        <w:autoSpaceDN w:val="0"/>
        <w:adjustRightInd w:val="0"/>
        <w:snapToGrid w:val="0"/>
        <w:spacing w:line="460" w:lineRule="exact"/>
        <w:ind w:firstLine="400" w:firstLineChars="200"/>
        <w:rPr>
          <w:rFonts w:hint="eastAsia" w:ascii="宋体" w:hAnsi="宋体"/>
          <w:snapToGrid w:val="0"/>
          <w:color w:val="auto"/>
          <w:kern w:val="0"/>
          <w:szCs w:val="21"/>
          <w:highlight w:val="none"/>
        </w:rPr>
      </w:pPr>
      <w:bookmarkStart w:id="14" w:name="_Toc443576768"/>
      <w:r>
        <w:rPr>
          <w:rFonts w:ascii="宋体" w:hAnsi="宋体" w:cs="宋体"/>
          <w:color w:val="auto"/>
          <w:sz w:val="20"/>
          <w:szCs w:val="22"/>
          <w:highlight w:val="none"/>
        </w:rPr>
        <w:t>4.1</w:t>
      </w:r>
      <w:r>
        <w:rPr>
          <w:rFonts w:hint="eastAsia" w:ascii="宋体" w:hAnsi="宋体"/>
          <w:snapToGrid w:val="0"/>
          <w:color w:val="auto"/>
          <w:kern w:val="0"/>
          <w:szCs w:val="21"/>
          <w:highlight w:val="none"/>
        </w:rPr>
        <w:t>获取时间：从202</w:t>
      </w:r>
      <w:r>
        <w:rPr>
          <w:rFonts w:hint="eastAsia" w:ascii="宋体" w:hAnsi="宋体"/>
          <w:snapToGrid w:val="0"/>
          <w:color w:val="auto"/>
          <w:kern w:val="0"/>
          <w:szCs w:val="21"/>
          <w:highlight w:val="none"/>
          <w:lang w:val="en-US" w:eastAsia="zh-CN"/>
        </w:rPr>
        <w:t>5</w:t>
      </w:r>
      <w:r>
        <w:rPr>
          <w:rFonts w:hint="eastAsia" w:ascii="宋体" w:hAnsi="宋体"/>
          <w:snapToGrid w:val="0"/>
          <w:color w:val="auto"/>
          <w:kern w:val="0"/>
          <w:szCs w:val="21"/>
          <w:highlight w:val="none"/>
        </w:rPr>
        <w:t>年</w:t>
      </w:r>
      <w:r>
        <w:rPr>
          <w:rFonts w:hint="eastAsia" w:ascii="宋体" w:hAnsi="宋体"/>
          <w:snapToGrid w:val="0"/>
          <w:color w:val="auto"/>
          <w:kern w:val="0"/>
          <w:szCs w:val="21"/>
          <w:highlight w:val="none"/>
          <w:lang w:val="en-US" w:eastAsia="zh-CN"/>
        </w:rPr>
        <w:t>12</w:t>
      </w:r>
      <w:r>
        <w:rPr>
          <w:rFonts w:hint="eastAsia" w:ascii="宋体" w:hAnsi="宋体"/>
          <w:snapToGrid w:val="0"/>
          <w:color w:val="auto"/>
          <w:kern w:val="0"/>
          <w:szCs w:val="21"/>
          <w:highlight w:val="none"/>
        </w:rPr>
        <w:t>月</w:t>
      </w:r>
      <w:r>
        <w:rPr>
          <w:rFonts w:hint="eastAsia" w:ascii="宋体" w:hAnsi="宋体"/>
          <w:snapToGrid w:val="0"/>
          <w:color w:val="auto"/>
          <w:kern w:val="0"/>
          <w:szCs w:val="21"/>
          <w:highlight w:val="none"/>
          <w:lang w:val="en-US" w:eastAsia="zh-CN"/>
        </w:rPr>
        <w:t>19</w:t>
      </w:r>
      <w:r>
        <w:rPr>
          <w:rFonts w:hint="eastAsia" w:ascii="宋体" w:hAnsi="宋体"/>
          <w:snapToGrid w:val="0"/>
          <w:color w:val="auto"/>
          <w:kern w:val="0"/>
          <w:szCs w:val="21"/>
          <w:highlight w:val="none"/>
        </w:rPr>
        <w:t>日</w:t>
      </w:r>
      <w:r>
        <w:rPr>
          <w:rFonts w:hint="eastAsia" w:ascii="宋体" w:hAnsi="宋体"/>
          <w:snapToGrid w:val="0"/>
          <w:color w:val="auto"/>
          <w:kern w:val="0"/>
          <w:szCs w:val="21"/>
          <w:highlight w:val="none"/>
          <w:lang w:val="en-US" w:eastAsia="zh-CN"/>
        </w:rPr>
        <w:t>10</w:t>
      </w:r>
      <w:r>
        <w:rPr>
          <w:rFonts w:hint="eastAsia" w:ascii="宋体" w:hAnsi="宋体"/>
          <w:snapToGrid w:val="0"/>
          <w:color w:val="auto"/>
          <w:kern w:val="0"/>
          <w:szCs w:val="21"/>
          <w:highlight w:val="none"/>
        </w:rPr>
        <w:t>时00分到202</w:t>
      </w:r>
      <w:r>
        <w:rPr>
          <w:rFonts w:hint="eastAsia" w:ascii="宋体" w:hAnsi="宋体"/>
          <w:snapToGrid w:val="0"/>
          <w:color w:val="auto"/>
          <w:kern w:val="0"/>
          <w:szCs w:val="21"/>
          <w:highlight w:val="none"/>
          <w:lang w:val="en-US" w:eastAsia="zh-CN"/>
        </w:rPr>
        <w:t>5</w:t>
      </w:r>
      <w:r>
        <w:rPr>
          <w:rFonts w:hint="eastAsia" w:ascii="宋体" w:hAnsi="宋体"/>
          <w:snapToGrid w:val="0"/>
          <w:color w:val="auto"/>
          <w:kern w:val="0"/>
          <w:szCs w:val="21"/>
          <w:highlight w:val="none"/>
        </w:rPr>
        <w:t>年</w:t>
      </w:r>
      <w:r>
        <w:rPr>
          <w:rFonts w:hint="eastAsia" w:ascii="宋体" w:hAnsi="宋体"/>
          <w:snapToGrid w:val="0"/>
          <w:color w:val="auto"/>
          <w:kern w:val="0"/>
          <w:szCs w:val="21"/>
          <w:highlight w:val="none"/>
          <w:lang w:val="en-US" w:eastAsia="zh-CN"/>
        </w:rPr>
        <w:t>12</w:t>
      </w:r>
      <w:r>
        <w:rPr>
          <w:rFonts w:hint="eastAsia" w:ascii="宋体" w:hAnsi="宋体"/>
          <w:snapToGrid w:val="0"/>
          <w:color w:val="auto"/>
          <w:kern w:val="0"/>
          <w:szCs w:val="21"/>
          <w:highlight w:val="none"/>
        </w:rPr>
        <w:t>月</w:t>
      </w:r>
      <w:r>
        <w:rPr>
          <w:rFonts w:hint="eastAsia" w:ascii="宋体" w:hAnsi="宋体"/>
          <w:snapToGrid w:val="0"/>
          <w:color w:val="auto"/>
          <w:kern w:val="0"/>
          <w:szCs w:val="21"/>
          <w:highlight w:val="none"/>
          <w:lang w:val="en-US" w:eastAsia="zh-CN"/>
        </w:rPr>
        <w:t>22</w:t>
      </w:r>
      <w:r>
        <w:rPr>
          <w:rFonts w:hint="eastAsia" w:ascii="宋体" w:hAnsi="宋体"/>
          <w:snapToGrid w:val="0"/>
          <w:color w:val="auto"/>
          <w:kern w:val="0"/>
          <w:szCs w:val="21"/>
          <w:highlight w:val="none"/>
        </w:rPr>
        <w:t>日</w:t>
      </w:r>
      <w:r>
        <w:rPr>
          <w:rFonts w:hint="eastAsia" w:ascii="宋体" w:hAnsi="宋体"/>
          <w:snapToGrid w:val="0"/>
          <w:color w:val="auto"/>
          <w:kern w:val="0"/>
          <w:szCs w:val="21"/>
          <w:highlight w:val="none"/>
          <w:lang w:val="en-US" w:eastAsia="zh-CN"/>
        </w:rPr>
        <w:t>11</w:t>
      </w:r>
      <w:r>
        <w:rPr>
          <w:rFonts w:hint="eastAsia" w:ascii="宋体" w:hAnsi="宋体"/>
          <w:snapToGrid w:val="0"/>
          <w:color w:val="auto"/>
          <w:kern w:val="0"/>
          <w:szCs w:val="21"/>
          <w:highlight w:val="none"/>
        </w:rPr>
        <w:t>时00分。</w:t>
      </w:r>
    </w:p>
    <w:p>
      <w:pPr>
        <w:tabs>
          <w:tab w:val="left" w:pos="3045"/>
          <w:tab w:val="left" w:pos="8310"/>
        </w:tabs>
        <w:autoSpaceDE w:val="0"/>
        <w:autoSpaceDN w:val="0"/>
        <w:adjustRightInd w:val="0"/>
        <w:snapToGrid w:val="0"/>
        <w:spacing w:line="460" w:lineRule="exact"/>
        <w:ind w:firstLine="420"/>
        <w:rPr>
          <w:rFonts w:hint="eastAsia" w:ascii="宋体" w:hAnsi="宋体" w:cs="宋体"/>
          <w:color w:val="auto"/>
          <w:sz w:val="20"/>
          <w:szCs w:val="22"/>
          <w:highlight w:val="none"/>
        </w:rPr>
      </w:pPr>
      <w:r>
        <w:rPr>
          <w:rFonts w:hint="eastAsia" w:ascii="宋体" w:hAnsi="宋体"/>
          <w:snapToGrid w:val="0"/>
          <w:color w:val="auto"/>
          <w:kern w:val="0"/>
          <w:szCs w:val="21"/>
          <w:highlight w:val="none"/>
        </w:rPr>
        <w:t>4.2获取方式：凡有意参加比选者在</w:t>
      </w:r>
      <w:r>
        <w:rPr>
          <w:rFonts w:hint="eastAsia" w:ascii="宋体" w:hAnsi="宋体"/>
          <w:snapToGrid w:val="0"/>
          <w:color w:val="auto"/>
          <w:kern w:val="0"/>
          <w:szCs w:val="21"/>
          <w:highlight w:val="none"/>
          <w:lang w:eastAsia="zh-CN"/>
        </w:rPr>
        <w:t>重庆山水城文化旅游发展有限公司</w:t>
      </w:r>
      <w:r>
        <w:rPr>
          <w:rFonts w:hint="eastAsia" w:ascii="宋体" w:hAnsi="宋体"/>
          <w:snapToGrid w:val="0"/>
          <w:color w:val="auto"/>
          <w:kern w:val="0"/>
          <w:szCs w:val="21"/>
          <w:highlight w:val="none"/>
        </w:rPr>
        <w:t>官网（</w:t>
      </w:r>
      <w:r>
        <w:rPr>
          <w:rFonts w:hint="eastAsia" w:ascii="宋体" w:hAnsi="宋体"/>
          <w:snapToGrid w:val="0"/>
          <w:color w:val="auto"/>
          <w:kern w:val="0"/>
          <w:szCs w:val="21"/>
          <w:highlight w:val="none"/>
          <w:lang w:eastAsia="zh-CN"/>
        </w:rPr>
        <w:t>http://www.cqsswl.com/</w:t>
      </w:r>
      <w:r>
        <w:rPr>
          <w:rFonts w:hint="eastAsia" w:ascii="宋体" w:hAnsi="宋体"/>
          <w:snapToGrid w:val="0"/>
          <w:color w:val="auto"/>
          <w:kern w:val="0"/>
          <w:szCs w:val="21"/>
          <w:highlight w:val="none"/>
        </w:rPr>
        <w:t>）</w:t>
      </w:r>
      <w:r>
        <w:rPr>
          <w:rFonts w:hint="eastAsia" w:ascii="宋体" w:hAnsi="宋体"/>
          <w:snapToGrid w:val="0"/>
          <w:color w:val="auto"/>
          <w:kern w:val="0"/>
          <w:szCs w:val="21"/>
          <w:highlight w:val="none"/>
          <w:lang w:val="en-US" w:eastAsia="zh-CN"/>
        </w:rPr>
        <w:t>或</w:t>
      </w:r>
      <w:r>
        <w:rPr>
          <w:rFonts w:hint="eastAsia" w:ascii="宋体" w:hAnsi="宋体" w:eastAsia="宋体" w:cs="Times New Roman"/>
          <w:snapToGrid w:val="0"/>
          <w:kern w:val="0"/>
          <w:szCs w:val="21"/>
          <w:highlight w:val="none"/>
          <w:lang w:val="en-US" w:eastAsia="zh-CN"/>
        </w:rPr>
        <w:t>重庆文旅</w:t>
      </w:r>
      <w:r>
        <w:rPr>
          <w:rFonts w:hint="eastAsia" w:ascii="宋体" w:hAnsi="宋体" w:eastAsia="宋体" w:cs="Times New Roman"/>
          <w:snapToGrid w:val="0"/>
          <w:kern w:val="0"/>
          <w:szCs w:val="21"/>
          <w:highlight w:val="none"/>
        </w:rPr>
        <w:t>集团集采平台官网（</w:t>
      </w:r>
      <w:bookmarkStart w:id="15" w:name="OLE_LINK6"/>
      <w:r>
        <w:rPr>
          <w:rFonts w:hint="eastAsia" w:ascii="宋体" w:hAnsi="宋体" w:eastAsia="宋体" w:cs="Times New Roman"/>
          <w:snapToGrid w:val="0"/>
          <w:kern w:val="0"/>
          <w:szCs w:val="21"/>
          <w:highlight w:val="none"/>
        </w:rPr>
        <w:t>https://jc.cqlyy.com/</w:t>
      </w:r>
      <w:bookmarkEnd w:id="15"/>
      <w:r>
        <w:rPr>
          <w:rFonts w:hint="eastAsia" w:ascii="宋体" w:hAnsi="宋体" w:eastAsia="宋体" w:cs="Times New Roman"/>
          <w:snapToGrid w:val="0"/>
          <w:kern w:val="0"/>
          <w:szCs w:val="21"/>
          <w:highlight w:val="none"/>
        </w:rPr>
        <w:t>）</w:t>
      </w:r>
      <w:r>
        <w:rPr>
          <w:rFonts w:hint="eastAsia" w:ascii="宋体" w:hAnsi="宋体"/>
          <w:snapToGrid w:val="0"/>
          <w:color w:val="auto"/>
          <w:kern w:val="0"/>
          <w:szCs w:val="21"/>
          <w:highlight w:val="none"/>
        </w:rPr>
        <w:t>上下载本项目的公开比选文件及相关资料。</w:t>
      </w:r>
    </w:p>
    <w:p>
      <w:pPr>
        <w:spacing w:line="360" w:lineRule="auto"/>
        <w:ind w:firstLine="420" w:firstLineChars="200"/>
        <w:rPr>
          <w:rFonts w:hint="eastAsia" w:ascii="宋体" w:hAnsi="宋体" w:cs="MingLiU"/>
          <w:snapToGrid w:val="0"/>
          <w:color w:val="auto"/>
          <w:szCs w:val="21"/>
          <w:highlight w:val="none"/>
        </w:rPr>
      </w:pPr>
      <w:r>
        <w:rPr>
          <w:rFonts w:hint="eastAsia" w:ascii="宋体" w:hAnsi="宋体" w:cs="MingLiU"/>
          <w:snapToGrid w:val="0"/>
          <w:color w:val="auto"/>
          <w:szCs w:val="21"/>
          <w:highlight w:val="none"/>
        </w:rPr>
        <w:t>4.</w:t>
      </w:r>
      <w:r>
        <w:rPr>
          <w:rFonts w:hint="eastAsia" w:ascii="宋体" w:hAnsi="宋体" w:cs="MingLiU"/>
          <w:snapToGrid w:val="0"/>
          <w:color w:val="auto"/>
          <w:szCs w:val="21"/>
          <w:highlight w:val="none"/>
          <w:lang w:val="en-US" w:eastAsia="zh-CN"/>
        </w:rPr>
        <w:t>3</w:t>
      </w:r>
      <w:r>
        <w:rPr>
          <w:rFonts w:hint="eastAsia" w:ascii="宋体" w:hAnsi="宋体" w:cs="MingLiU"/>
          <w:snapToGrid w:val="0"/>
          <w:color w:val="auto"/>
          <w:szCs w:val="21"/>
          <w:highlight w:val="none"/>
        </w:rPr>
        <w:t>有意愿参加本项目</w:t>
      </w:r>
      <w:r>
        <w:rPr>
          <w:rFonts w:hint="eastAsia" w:ascii="宋体" w:hAnsi="宋体" w:cs="MingLiU"/>
          <w:snapToGrid w:val="0"/>
          <w:color w:val="auto"/>
          <w:szCs w:val="21"/>
          <w:highlight w:val="none"/>
          <w:lang w:val="en-US" w:eastAsia="zh-CN"/>
        </w:rPr>
        <w:t>比选</w:t>
      </w:r>
      <w:r>
        <w:rPr>
          <w:rFonts w:hint="eastAsia" w:ascii="宋体" w:hAnsi="宋体" w:cs="MingLiU"/>
          <w:snapToGrid w:val="0"/>
          <w:color w:val="auto"/>
          <w:szCs w:val="21"/>
          <w:highlight w:val="none"/>
        </w:rPr>
        <w:t>的单位（承包商），需在本项目</w:t>
      </w:r>
      <w:r>
        <w:rPr>
          <w:rFonts w:hint="eastAsia" w:ascii="宋体" w:hAnsi="宋体" w:cs="MingLiU"/>
          <w:snapToGrid w:val="0"/>
          <w:color w:val="auto"/>
          <w:szCs w:val="21"/>
          <w:highlight w:val="none"/>
          <w:lang w:val="en-US" w:eastAsia="zh-CN"/>
        </w:rPr>
        <w:t>参选</w:t>
      </w:r>
      <w:r>
        <w:rPr>
          <w:rFonts w:hint="eastAsia" w:ascii="宋体" w:hAnsi="宋体" w:cs="MingLiU"/>
          <w:snapToGrid w:val="0"/>
          <w:color w:val="auto"/>
          <w:szCs w:val="21"/>
          <w:highlight w:val="none"/>
        </w:rPr>
        <w:t>文件递交截止时间前，通过“重庆</w:t>
      </w:r>
      <w:r>
        <w:rPr>
          <w:rFonts w:hint="eastAsia" w:ascii="宋体" w:hAnsi="宋体" w:cs="MingLiU"/>
          <w:snapToGrid w:val="0"/>
          <w:color w:val="auto"/>
          <w:szCs w:val="21"/>
          <w:highlight w:val="none"/>
          <w:lang w:val="en-US" w:eastAsia="zh-CN"/>
        </w:rPr>
        <w:t>文旅</w:t>
      </w:r>
      <w:r>
        <w:rPr>
          <w:rFonts w:hint="eastAsia" w:ascii="宋体" w:hAnsi="宋体" w:cs="MingLiU"/>
          <w:snapToGrid w:val="0"/>
          <w:color w:val="auto"/>
          <w:szCs w:val="21"/>
          <w:highlight w:val="none"/>
        </w:rPr>
        <w:t>集团集采平台”登记加入“重庆</w:t>
      </w:r>
      <w:r>
        <w:rPr>
          <w:rFonts w:hint="eastAsia" w:ascii="宋体" w:hAnsi="宋体" w:cs="MingLiU"/>
          <w:snapToGrid w:val="0"/>
          <w:color w:val="auto"/>
          <w:szCs w:val="21"/>
          <w:highlight w:val="none"/>
          <w:lang w:val="en-US" w:eastAsia="zh-CN"/>
        </w:rPr>
        <w:t>文旅</w:t>
      </w:r>
      <w:r>
        <w:rPr>
          <w:rFonts w:hint="eastAsia" w:ascii="宋体" w:hAnsi="宋体" w:cs="MingLiU"/>
          <w:snapToGrid w:val="0"/>
          <w:color w:val="auto"/>
          <w:szCs w:val="21"/>
          <w:highlight w:val="none"/>
        </w:rPr>
        <w:t>集团供应商库”（步骤：扫描</w:t>
      </w:r>
      <w:r>
        <w:rPr>
          <w:rFonts w:hint="eastAsia" w:ascii="宋体" w:hAnsi="宋体" w:cs="MingLiU"/>
          <w:snapToGrid w:val="0"/>
          <w:color w:val="auto"/>
          <w:szCs w:val="21"/>
          <w:highlight w:val="none"/>
          <w:lang w:val="en-US" w:eastAsia="zh-CN"/>
        </w:rPr>
        <w:t>下方</w:t>
      </w:r>
      <w:r>
        <w:rPr>
          <w:rFonts w:hint="eastAsia" w:ascii="宋体" w:hAnsi="宋体" w:cs="MingLiU"/>
          <w:snapToGrid w:val="0"/>
          <w:color w:val="auto"/>
          <w:szCs w:val="21"/>
          <w:highlight w:val="none"/>
        </w:rPr>
        <w:t>“供应商微信小程序入口端”二维码，按程序完成）。</w:t>
      </w:r>
      <w:r>
        <w:rPr>
          <w:rFonts w:hint="eastAsia" w:ascii="宋体" w:hAnsi="宋体" w:cs="MingLiU"/>
          <w:snapToGrid w:val="0"/>
          <w:color w:val="auto"/>
          <w:szCs w:val="21"/>
          <w:highlight w:val="none"/>
          <w:lang w:val="en-US" w:eastAsia="zh-CN"/>
        </w:rPr>
        <w:t>参选</w:t>
      </w:r>
      <w:r>
        <w:rPr>
          <w:rFonts w:hint="eastAsia" w:ascii="宋体" w:hAnsi="宋体" w:cs="MingLiU"/>
          <w:snapToGrid w:val="0"/>
          <w:color w:val="auto"/>
          <w:szCs w:val="21"/>
          <w:highlight w:val="none"/>
        </w:rPr>
        <w:t>人按照相关入库要求，如实填报企业相关信息，确保录入的信息真实、准确无误，并承担相关责任。</w:t>
      </w:r>
      <w:r>
        <w:rPr>
          <w:rFonts w:hint="eastAsia" w:ascii="宋体" w:hAnsi="宋体" w:cs="MingLiU"/>
          <w:snapToGrid w:val="0"/>
          <w:color w:val="auto"/>
          <w:szCs w:val="21"/>
          <w:highlight w:val="none"/>
          <w:lang w:val="en-US" w:eastAsia="zh-CN"/>
        </w:rPr>
        <w:t>参选</w:t>
      </w:r>
      <w:r>
        <w:rPr>
          <w:rFonts w:hint="eastAsia" w:ascii="宋体" w:hAnsi="宋体" w:cs="MingLiU"/>
          <w:snapToGrid w:val="0"/>
          <w:color w:val="auto"/>
          <w:szCs w:val="21"/>
          <w:highlight w:val="none"/>
        </w:rPr>
        <w:t>文件中须附上已登记的相关截图并加盖</w:t>
      </w:r>
      <w:r>
        <w:rPr>
          <w:rFonts w:hint="eastAsia" w:ascii="宋体" w:hAnsi="宋体" w:cs="MingLiU"/>
          <w:snapToGrid w:val="0"/>
          <w:color w:val="auto"/>
          <w:szCs w:val="21"/>
          <w:highlight w:val="none"/>
          <w:lang w:eastAsia="zh-CN"/>
        </w:rPr>
        <w:t>参选</w:t>
      </w:r>
      <w:r>
        <w:rPr>
          <w:rFonts w:hint="eastAsia" w:ascii="宋体" w:hAnsi="宋体" w:cs="MingLiU"/>
          <w:snapToGrid w:val="0"/>
          <w:color w:val="auto"/>
          <w:szCs w:val="21"/>
          <w:highlight w:val="none"/>
        </w:rPr>
        <w:t>人公章。</w:t>
      </w:r>
    </w:p>
    <w:p>
      <w:pPr>
        <w:pStyle w:val="2"/>
        <w:rPr>
          <w:rFonts w:hint="eastAsia" w:ascii="宋体" w:hAnsi="宋体" w:cs="MingLiU"/>
          <w:snapToGrid w:val="0"/>
          <w:color w:val="auto"/>
          <w:szCs w:val="21"/>
          <w:highlight w:val="none"/>
        </w:rPr>
      </w:pPr>
      <w:r>
        <w:drawing>
          <wp:anchor distT="0" distB="0" distL="114300" distR="114300" simplePos="0" relativeHeight="251661312" behindDoc="0" locked="0" layoutInCell="1" allowOverlap="1">
            <wp:simplePos x="0" y="0"/>
            <wp:positionH relativeFrom="column">
              <wp:posOffset>617220</wp:posOffset>
            </wp:positionH>
            <wp:positionV relativeFrom="paragraph">
              <wp:posOffset>24765</wp:posOffset>
            </wp:positionV>
            <wp:extent cx="1019175" cy="1019175"/>
            <wp:effectExtent l="0" t="0" r="9525" b="9525"/>
            <wp:wrapNone/>
            <wp:docPr id="7" name="图片 7" descr="8c5b08d47ba41f5cc0b6a0ffd1a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c5b08d47ba41f5cc0b6a0ffd1a8186"/>
                    <pic:cNvPicPr>
                      <a:picLocks noChangeAspect="1"/>
                    </pic:cNvPicPr>
                  </pic:nvPicPr>
                  <pic:blipFill>
                    <a:blip r:embed="rId14"/>
                    <a:stretch>
                      <a:fillRect/>
                    </a:stretch>
                  </pic:blipFill>
                  <pic:spPr>
                    <a:xfrm>
                      <a:off x="0" y="0"/>
                      <a:ext cx="1019175" cy="1019175"/>
                    </a:xfrm>
                    <a:prstGeom prst="rect">
                      <a:avLst/>
                    </a:prstGeom>
                    <a:noFill/>
                    <a:ln>
                      <a:noFill/>
                    </a:ln>
                  </pic:spPr>
                </pic:pic>
              </a:graphicData>
            </a:graphic>
          </wp:anchor>
        </w:drawing>
      </w:r>
    </w:p>
    <w:p>
      <w:pPr>
        <w:rPr>
          <w:rFonts w:hint="eastAsia" w:ascii="宋体" w:hAnsi="宋体" w:cs="MingLiU"/>
          <w:snapToGrid w:val="0"/>
          <w:color w:val="auto"/>
          <w:szCs w:val="21"/>
          <w:highlight w:val="none"/>
        </w:rPr>
      </w:pPr>
    </w:p>
    <w:p>
      <w:pPr>
        <w:pStyle w:val="2"/>
        <w:rPr>
          <w:rFonts w:hint="eastAsia" w:ascii="宋体" w:hAnsi="宋体" w:cs="MingLiU"/>
          <w:snapToGrid w:val="0"/>
          <w:color w:val="auto"/>
          <w:szCs w:val="21"/>
          <w:highlight w:val="none"/>
        </w:rPr>
      </w:pPr>
    </w:p>
    <w:p>
      <w:pPr>
        <w:rPr>
          <w:rFonts w:hint="eastAsia"/>
        </w:rPr>
      </w:pPr>
    </w:p>
    <w:p>
      <w:pPr>
        <w:rPr>
          <w:rFonts w:hint="default"/>
          <w:lang w:val="en-US" w:eastAsia="zh-CN"/>
        </w:rPr>
      </w:pPr>
    </w:p>
    <w:p>
      <w:pPr>
        <w:pStyle w:val="5"/>
        <w:spacing w:before="0" w:line="360" w:lineRule="auto"/>
        <w:rPr>
          <w:rFonts w:hint="eastAsia" w:ascii="宋体" w:hAnsi="宋体" w:eastAsia="宋体"/>
          <w:snapToGrid w:val="0"/>
          <w:color w:val="auto"/>
          <w:sz w:val="22"/>
          <w:szCs w:val="22"/>
          <w:highlight w:val="none"/>
        </w:rPr>
      </w:pPr>
      <w:bookmarkStart w:id="16" w:name="_Toc443576767"/>
      <w:r>
        <w:rPr>
          <w:rFonts w:hint="eastAsia" w:ascii="宋体" w:hAnsi="宋体" w:eastAsia="宋体"/>
          <w:snapToGrid w:val="0"/>
          <w:color w:val="auto"/>
          <w:sz w:val="22"/>
          <w:szCs w:val="22"/>
          <w:highlight w:val="none"/>
        </w:rPr>
        <w:t>5.</w:t>
      </w:r>
      <w:r>
        <w:rPr>
          <w:rFonts w:hint="eastAsia" w:ascii="宋体" w:hAnsi="宋体" w:eastAsia="宋体"/>
          <w:snapToGrid w:val="0"/>
          <w:color w:val="auto"/>
          <w:sz w:val="22"/>
          <w:szCs w:val="22"/>
          <w:highlight w:val="none"/>
          <w:lang w:eastAsia="zh-CN"/>
        </w:rPr>
        <w:t>参选</w:t>
      </w:r>
      <w:r>
        <w:rPr>
          <w:rFonts w:hint="eastAsia" w:ascii="宋体" w:hAnsi="宋体" w:eastAsia="宋体"/>
          <w:snapToGrid w:val="0"/>
          <w:color w:val="auto"/>
          <w:sz w:val="22"/>
          <w:szCs w:val="22"/>
          <w:highlight w:val="none"/>
        </w:rPr>
        <w:t>文件递交时间及地点、比选时间</w:t>
      </w:r>
      <w:bookmarkEnd w:id="16"/>
    </w:p>
    <w:p>
      <w:pPr>
        <w:pStyle w:val="5"/>
        <w:tabs>
          <w:tab w:val="center" w:pos="4904"/>
        </w:tabs>
        <w:spacing w:before="0" w:line="360" w:lineRule="auto"/>
        <w:ind w:firstLine="420" w:firstLineChars="200"/>
        <w:rPr>
          <w:rFonts w:hint="eastAsia" w:ascii="宋体" w:hAnsi="宋体" w:eastAsia="宋体" w:cs="MingLiU"/>
          <w:b w:val="0"/>
          <w:snapToGrid w:val="0"/>
          <w:color w:val="auto"/>
          <w:kern w:val="2"/>
          <w:sz w:val="21"/>
          <w:szCs w:val="21"/>
          <w:highlight w:val="none"/>
          <w:lang w:val="en-US" w:eastAsia="zh-CN" w:bidi="ar-SA"/>
        </w:rPr>
      </w:pPr>
      <w:r>
        <w:rPr>
          <w:rFonts w:hint="eastAsia" w:ascii="宋体" w:hAnsi="宋体" w:eastAsia="宋体" w:cs="MingLiU"/>
          <w:b w:val="0"/>
          <w:snapToGrid w:val="0"/>
          <w:color w:val="auto"/>
          <w:kern w:val="2"/>
          <w:sz w:val="21"/>
          <w:szCs w:val="21"/>
          <w:highlight w:val="none"/>
          <w:lang w:val="en-US" w:eastAsia="zh-CN" w:bidi="ar-SA"/>
        </w:rPr>
        <w:t>5.1参选文件递交截止和开标时间：2025年12月</w:t>
      </w:r>
      <w:r>
        <w:rPr>
          <w:rFonts w:hint="eastAsia" w:ascii="宋体" w:hAnsi="宋体"/>
          <w:b w:val="0"/>
          <w:bCs/>
          <w:snapToGrid w:val="0"/>
          <w:color w:val="auto"/>
          <w:kern w:val="0"/>
          <w:szCs w:val="21"/>
          <w:highlight w:val="none"/>
          <w:lang w:val="en-US" w:eastAsia="zh-CN"/>
        </w:rPr>
        <w:t>22</w:t>
      </w:r>
      <w:r>
        <w:rPr>
          <w:rFonts w:hint="eastAsia" w:ascii="宋体" w:hAnsi="宋体" w:eastAsia="宋体" w:cs="MingLiU"/>
          <w:b w:val="0"/>
          <w:snapToGrid w:val="0"/>
          <w:color w:val="auto"/>
          <w:kern w:val="2"/>
          <w:sz w:val="21"/>
          <w:szCs w:val="21"/>
          <w:highlight w:val="none"/>
          <w:lang w:val="en-US" w:eastAsia="zh-CN" w:bidi="ar-SA"/>
        </w:rPr>
        <w:t>日11时00分（北京时间）</w:t>
      </w:r>
    </w:p>
    <w:p>
      <w:pPr>
        <w:pStyle w:val="5"/>
        <w:tabs>
          <w:tab w:val="center" w:pos="4904"/>
        </w:tabs>
        <w:spacing w:before="0" w:line="360" w:lineRule="auto"/>
        <w:ind w:firstLine="420" w:firstLineChars="200"/>
        <w:rPr>
          <w:rFonts w:hint="eastAsia" w:ascii="宋体" w:hAnsi="宋体" w:eastAsia="宋体" w:cs="MingLiU"/>
          <w:b w:val="0"/>
          <w:snapToGrid w:val="0"/>
          <w:color w:val="auto"/>
          <w:kern w:val="2"/>
          <w:sz w:val="21"/>
          <w:szCs w:val="21"/>
          <w:highlight w:val="none"/>
          <w:lang w:val="en-US" w:eastAsia="zh-CN" w:bidi="ar-SA"/>
        </w:rPr>
      </w:pPr>
      <w:r>
        <w:rPr>
          <w:rFonts w:hint="eastAsia" w:ascii="宋体" w:hAnsi="宋体" w:eastAsia="宋体" w:cs="MingLiU"/>
          <w:b w:val="0"/>
          <w:snapToGrid w:val="0"/>
          <w:color w:val="auto"/>
          <w:kern w:val="2"/>
          <w:sz w:val="21"/>
          <w:szCs w:val="21"/>
          <w:highlight w:val="none"/>
          <w:lang w:val="en-US" w:eastAsia="zh-CN" w:bidi="ar-SA"/>
        </w:rPr>
        <w:t>5.2参选和开标地点：重庆市渝中区金渝大厦38层山水城文旅公司会议室。</w:t>
      </w:r>
    </w:p>
    <w:p>
      <w:pPr>
        <w:pStyle w:val="5"/>
        <w:tabs>
          <w:tab w:val="center" w:pos="4904"/>
        </w:tabs>
        <w:spacing w:before="0" w:line="360" w:lineRule="auto"/>
        <w:ind w:firstLine="420" w:firstLineChars="200"/>
        <w:rPr>
          <w:rFonts w:hint="eastAsia" w:ascii="宋体" w:hAnsi="宋体" w:eastAsia="宋体" w:cs="MingLiU"/>
          <w:b w:val="0"/>
          <w:snapToGrid w:val="0"/>
          <w:color w:val="auto"/>
          <w:kern w:val="2"/>
          <w:sz w:val="21"/>
          <w:szCs w:val="21"/>
          <w:highlight w:val="none"/>
          <w:lang w:val="en-US" w:eastAsia="zh-CN" w:bidi="ar-SA"/>
        </w:rPr>
      </w:pPr>
      <w:r>
        <w:rPr>
          <w:rFonts w:hint="eastAsia" w:ascii="宋体" w:hAnsi="宋体" w:eastAsia="宋体" w:cs="MingLiU"/>
          <w:b w:val="0"/>
          <w:snapToGrid w:val="0"/>
          <w:color w:val="auto"/>
          <w:kern w:val="2"/>
          <w:sz w:val="21"/>
          <w:szCs w:val="21"/>
          <w:highlight w:val="none"/>
          <w:lang w:val="en-US" w:eastAsia="zh-CN" w:bidi="ar-SA"/>
        </w:rPr>
        <w:t>5.3现场递交，逾期送达或未送达指定地点，或未密封的参选文件，比选人不予受理。</w:t>
      </w:r>
    </w:p>
    <w:p>
      <w:pPr>
        <w:pStyle w:val="5"/>
        <w:tabs>
          <w:tab w:val="center" w:pos="4904"/>
        </w:tabs>
        <w:spacing w:before="0" w:line="360" w:lineRule="auto"/>
        <w:rPr>
          <w:rFonts w:hint="eastAsia" w:ascii="宋体" w:hAnsi="宋体" w:eastAsia="宋体"/>
          <w:snapToGrid w:val="0"/>
          <w:color w:val="auto"/>
          <w:sz w:val="22"/>
          <w:szCs w:val="22"/>
          <w:highlight w:val="none"/>
        </w:rPr>
      </w:pPr>
      <w:r>
        <w:rPr>
          <w:rFonts w:hint="eastAsia" w:ascii="宋体" w:hAnsi="宋体" w:eastAsia="宋体"/>
          <w:snapToGrid w:val="0"/>
          <w:color w:val="auto"/>
          <w:sz w:val="22"/>
          <w:szCs w:val="22"/>
          <w:highlight w:val="none"/>
          <w:lang w:val="en-US" w:eastAsia="zh-CN"/>
        </w:rPr>
        <w:t>6</w:t>
      </w:r>
      <w:r>
        <w:rPr>
          <w:rFonts w:hint="eastAsia" w:ascii="宋体" w:hAnsi="宋体" w:eastAsia="宋体"/>
          <w:snapToGrid w:val="0"/>
          <w:color w:val="auto"/>
          <w:sz w:val="22"/>
          <w:szCs w:val="22"/>
          <w:highlight w:val="none"/>
        </w:rPr>
        <w:t>.</w:t>
      </w:r>
      <w:bookmarkEnd w:id="14"/>
      <w:r>
        <w:rPr>
          <w:rFonts w:hint="eastAsia" w:ascii="宋体" w:hAnsi="宋体" w:eastAsia="宋体"/>
          <w:snapToGrid w:val="0"/>
          <w:color w:val="auto"/>
          <w:sz w:val="22"/>
          <w:szCs w:val="22"/>
          <w:highlight w:val="none"/>
        </w:rPr>
        <w:t>比选公告的发布</w:t>
      </w:r>
      <w:r>
        <w:rPr>
          <w:rFonts w:ascii="宋体" w:hAnsi="宋体" w:eastAsia="宋体"/>
          <w:snapToGrid w:val="0"/>
          <w:color w:val="auto"/>
          <w:sz w:val="22"/>
          <w:szCs w:val="22"/>
          <w:highlight w:val="none"/>
        </w:rPr>
        <w:tab/>
      </w:r>
    </w:p>
    <w:p>
      <w:pPr>
        <w:spacing w:line="360" w:lineRule="auto"/>
        <w:ind w:firstLine="400" w:firstLineChars="200"/>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本比选公告将在</w:t>
      </w:r>
      <w:bookmarkStart w:id="17" w:name="OLE_LINK5"/>
      <w:r>
        <w:rPr>
          <w:rFonts w:hint="eastAsia" w:ascii="宋体" w:hAnsi="宋体" w:cs="宋体"/>
          <w:color w:val="auto"/>
          <w:kern w:val="0"/>
          <w:sz w:val="20"/>
          <w:szCs w:val="20"/>
          <w:highlight w:val="none"/>
          <w:u w:val="none"/>
          <w:lang w:eastAsia="zh-CN"/>
        </w:rPr>
        <w:t>重庆山水城文化旅游发展有限公司</w:t>
      </w:r>
      <w:r>
        <w:rPr>
          <w:rFonts w:hint="eastAsia" w:ascii="宋体" w:hAnsi="宋体" w:cs="宋体"/>
          <w:color w:val="auto"/>
          <w:kern w:val="0"/>
          <w:sz w:val="20"/>
          <w:szCs w:val="20"/>
          <w:highlight w:val="none"/>
          <w:u w:val="none"/>
        </w:rPr>
        <w:t>官网（</w:t>
      </w:r>
      <w:r>
        <w:rPr>
          <w:rFonts w:hint="eastAsia" w:ascii="宋体" w:hAnsi="宋体" w:cs="宋体"/>
          <w:color w:val="auto"/>
          <w:kern w:val="0"/>
          <w:sz w:val="20"/>
          <w:szCs w:val="20"/>
          <w:highlight w:val="none"/>
          <w:u w:val="none"/>
          <w:lang w:eastAsia="zh-CN"/>
        </w:rPr>
        <w:t>http://www.cqsswl.com/</w:t>
      </w:r>
      <w:r>
        <w:rPr>
          <w:rFonts w:hint="eastAsia" w:ascii="宋体" w:hAnsi="宋体" w:cs="宋体"/>
          <w:color w:val="auto"/>
          <w:kern w:val="0"/>
          <w:sz w:val="20"/>
          <w:szCs w:val="20"/>
          <w:highlight w:val="none"/>
          <w:u w:val="none"/>
        </w:rPr>
        <w:t>）</w:t>
      </w:r>
      <w:r>
        <w:rPr>
          <w:rFonts w:hint="eastAsia" w:ascii="宋体" w:hAnsi="宋体" w:cs="宋体"/>
          <w:color w:val="auto"/>
          <w:kern w:val="0"/>
          <w:sz w:val="20"/>
          <w:szCs w:val="20"/>
          <w:highlight w:val="none"/>
          <w:u w:val="none"/>
          <w:lang w:val="en-US" w:eastAsia="zh-CN"/>
        </w:rPr>
        <w:t>和</w:t>
      </w:r>
      <w:r>
        <w:rPr>
          <w:rFonts w:hint="eastAsia" w:ascii="宋体" w:hAnsi="宋体" w:eastAsia="宋体" w:cs="Times New Roman"/>
          <w:snapToGrid w:val="0"/>
          <w:kern w:val="0"/>
          <w:szCs w:val="21"/>
          <w:highlight w:val="none"/>
          <w:lang w:val="en-US" w:eastAsia="zh-CN"/>
        </w:rPr>
        <w:t>重庆文旅</w:t>
      </w:r>
      <w:r>
        <w:rPr>
          <w:rFonts w:hint="eastAsia" w:ascii="宋体" w:hAnsi="宋体" w:eastAsia="宋体" w:cs="Times New Roman"/>
          <w:snapToGrid w:val="0"/>
          <w:kern w:val="0"/>
          <w:szCs w:val="21"/>
          <w:highlight w:val="none"/>
        </w:rPr>
        <w:t>集团集采平台官网（https://jc.cqlyy.com/）</w:t>
      </w:r>
      <w:bookmarkEnd w:id="17"/>
      <w:r>
        <w:rPr>
          <w:rFonts w:hint="eastAsia" w:ascii="宋体" w:hAnsi="宋体" w:cs="宋体"/>
          <w:color w:val="auto"/>
          <w:kern w:val="0"/>
          <w:sz w:val="20"/>
          <w:szCs w:val="20"/>
          <w:highlight w:val="none"/>
          <w:u w:val="none"/>
          <w:lang w:val="en-US" w:eastAsia="zh-CN"/>
        </w:rPr>
        <w:t>上</w:t>
      </w:r>
      <w:r>
        <w:rPr>
          <w:rFonts w:hint="eastAsia" w:ascii="宋体" w:hAnsi="宋体" w:cs="宋体"/>
          <w:color w:val="auto"/>
          <w:kern w:val="0"/>
          <w:sz w:val="20"/>
          <w:szCs w:val="20"/>
          <w:highlight w:val="none"/>
        </w:rPr>
        <w:t>发布。</w:t>
      </w:r>
    </w:p>
    <w:p>
      <w:pPr>
        <w:pStyle w:val="5"/>
        <w:tabs>
          <w:tab w:val="center" w:pos="4904"/>
        </w:tabs>
        <w:spacing w:before="0" w:line="360" w:lineRule="auto"/>
        <w:rPr>
          <w:rFonts w:hint="eastAsia" w:ascii="宋体" w:hAnsi="宋体" w:cs="MingLiU"/>
          <w:color w:val="auto"/>
          <w:highlight w:val="none"/>
        </w:rPr>
      </w:pPr>
      <w:r>
        <w:rPr>
          <w:rFonts w:hint="eastAsia" w:ascii="宋体" w:hAnsi="宋体" w:eastAsia="宋体"/>
          <w:snapToGrid w:val="0"/>
          <w:color w:val="auto"/>
          <w:sz w:val="22"/>
          <w:szCs w:val="22"/>
          <w:highlight w:val="none"/>
        </w:rPr>
        <w:t>7.联系方式</w:t>
      </w:r>
      <w:r>
        <w:rPr>
          <w:rFonts w:ascii="宋体" w:hAnsi="宋体" w:eastAsia="宋体"/>
          <w:snapToGrid w:val="0"/>
          <w:color w:val="auto"/>
          <w:sz w:val="22"/>
          <w:szCs w:val="22"/>
          <w:highlight w:val="none"/>
        </w:rPr>
        <w:tab/>
      </w:r>
    </w:p>
    <w:p>
      <w:pPr>
        <w:spacing w:line="360" w:lineRule="auto"/>
        <w:ind w:firstLine="400" w:firstLineChars="200"/>
        <w:jc w:val="left"/>
        <w:rPr>
          <w:rFonts w:hint="eastAsia" w:ascii="宋体" w:hAnsi="宋体" w:cs="MingLiU"/>
          <w:color w:val="auto"/>
          <w:sz w:val="20"/>
          <w:szCs w:val="22"/>
          <w:highlight w:val="none"/>
        </w:rPr>
      </w:pPr>
      <w:r>
        <w:rPr>
          <w:rFonts w:hint="eastAsia" w:ascii="宋体" w:hAnsi="宋体" w:cs="MingLiU"/>
          <w:color w:val="auto"/>
          <w:sz w:val="20"/>
          <w:szCs w:val="22"/>
          <w:highlight w:val="none"/>
        </w:rPr>
        <w:t>比选人：</w:t>
      </w:r>
      <w:r>
        <w:rPr>
          <w:rFonts w:hint="eastAsia" w:ascii="宋体" w:hAnsi="宋体" w:cs="MingLiU"/>
          <w:color w:val="auto"/>
          <w:sz w:val="20"/>
          <w:szCs w:val="22"/>
          <w:highlight w:val="none"/>
          <w:u w:val="single"/>
          <w:lang w:eastAsia="zh-CN"/>
        </w:rPr>
        <w:t>重庆山水城文化旅游发展有限公司</w:t>
      </w:r>
      <w:r>
        <w:rPr>
          <w:rFonts w:hint="eastAsia" w:ascii="宋体" w:hAnsi="宋体" w:cs="MingLiU"/>
          <w:color w:val="auto"/>
          <w:sz w:val="20"/>
          <w:szCs w:val="22"/>
          <w:highlight w:val="none"/>
          <w:u w:val="single"/>
        </w:rPr>
        <w:t xml:space="preserve"> </w:t>
      </w:r>
      <w:r>
        <w:rPr>
          <w:rFonts w:hint="eastAsia" w:ascii="宋体" w:hAnsi="宋体" w:cs="MingLiU"/>
          <w:color w:val="auto"/>
          <w:sz w:val="20"/>
          <w:szCs w:val="22"/>
          <w:highlight w:val="none"/>
        </w:rPr>
        <w:t xml:space="preserve">    </w:t>
      </w:r>
    </w:p>
    <w:p>
      <w:pPr>
        <w:spacing w:line="360" w:lineRule="auto"/>
        <w:ind w:firstLine="400" w:firstLineChars="200"/>
        <w:jc w:val="left"/>
        <w:rPr>
          <w:rFonts w:hint="eastAsia" w:ascii="宋体" w:hAnsi="宋体" w:cs="MingLiU"/>
          <w:color w:val="auto"/>
          <w:sz w:val="20"/>
          <w:szCs w:val="22"/>
          <w:highlight w:val="none"/>
        </w:rPr>
      </w:pPr>
      <w:r>
        <w:rPr>
          <w:rFonts w:hint="eastAsia" w:ascii="宋体" w:hAnsi="宋体" w:cs="MingLiU"/>
          <w:color w:val="auto"/>
          <w:sz w:val="20"/>
          <w:szCs w:val="22"/>
          <w:highlight w:val="none"/>
        </w:rPr>
        <w:t>地    址：</w:t>
      </w:r>
      <w:r>
        <w:rPr>
          <w:rFonts w:hint="eastAsia" w:ascii="宋体" w:hAnsi="宋体" w:cs="MingLiU"/>
          <w:color w:val="auto"/>
          <w:sz w:val="20"/>
          <w:szCs w:val="22"/>
          <w:highlight w:val="none"/>
          <w:u w:val="single"/>
          <w:lang w:eastAsia="zh-CN"/>
        </w:rPr>
        <w:t>重庆市渝中区金渝大厦38楼山水城公司会议室</w:t>
      </w:r>
      <w:r>
        <w:rPr>
          <w:rFonts w:hint="eastAsia" w:ascii="宋体" w:hAnsi="宋体" w:cs="MingLiU"/>
          <w:color w:val="auto"/>
          <w:sz w:val="20"/>
          <w:szCs w:val="22"/>
          <w:highlight w:val="none"/>
        </w:rPr>
        <w:t xml:space="preserve">  </w:t>
      </w:r>
    </w:p>
    <w:p>
      <w:pPr>
        <w:spacing w:line="360" w:lineRule="auto"/>
        <w:ind w:firstLine="400" w:firstLineChars="200"/>
        <w:jc w:val="left"/>
        <w:rPr>
          <w:rFonts w:hint="eastAsia" w:ascii="宋体" w:hAnsi="宋体" w:cs="MingLiU"/>
          <w:color w:val="auto"/>
          <w:sz w:val="20"/>
          <w:szCs w:val="22"/>
          <w:highlight w:val="none"/>
        </w:rPr>
      </w:pPr>
      <w:r>
        <w:rPr>
          <w:rFonts w:hint="eastAsia" w:ascii="宋体" w:hAnsi="宋体" w:cs="MingLiU"/>
          <w:color w:val="auto"/>
          <w:sz w:val="20"/>
          <w:szCs w:val="22"/>
          <w:highlight w:val="none"/>
        </w:rPr>
        <w:t>联 系 人：</w:t>
      </w:r>
      <w:r>
        <w:rPr>
          <w:rFonts w:hint="eastAsia" w:ascii="宋体" w:hAnsi="宋体" w:cs="MingLiU"/>
          <w:color w:val="auto"/>
          <w:sz w:val="20"/>
          <w:szCs w:val="22"/>
          <w:highlight w:val="none"/>
          <w:u w:val="single"/>
          <w:lang w:val="en-US" w:eastAsia="zh-CN"/>
        </w:rPr>
        <w:t>吴</w:t>
      </w:r>
      <w:r>
        <w:rPr>
          <w:rFonts w:hint="eastAsia" w:ascii="宋体" w:hAnsi="宋体" w:cs="MingLiU"/>
          <w:color w:val="auto"/>
          <w:sz w:val="20"/>
          <w:szCs w:val="22"/>
          <w:highlight w:val="none"/>
          <w:u w:val="single"/>
        </w:rPr>
        <w:t xml:space="preserve">老师 </w:t>
      </w:r>
      <w:r>
        <w:rPr>
          <w:rFonts w:hint="eastAsia" w:ascii="宋体" w:hAnsi="宋体" w:cs="MingLiU"/>
          <w:color w:val="auto"/>
          <w:sz w:val="20"/>
          <w:szCs w:val="22"/>
          <w:highlight w:val="none"/>
        </w:rPr>
        <w:t xml:space="preserve">                    </w:t>
      </w:r>
    </w:p>
    <w:p>
      <w:pPr>
        <w:spacing w:line="360" w:lineRule="auto"/>
        <w:ind w:firstLine="400" w:firstLineChars="200"/>
        <w:jc w:val="left"/>
        <w:rPr>
          <w:rFonts w:hint="default" w:ascii="宋体" w:hAnsi="宋体" w:eastAsia="宋体" w:cs="MingLiU"/>
          <w:color w:val="auto"/>
          <w:sz w:val="20"/>
          <w:szCs w:val="22"/>
          <w:highlight w:val="none"/>
          <w:lang w:val="en-US" w:eastAsia="zh-CN"/>
        </w:rPr>
      </w:pPr>
      <w:r>
        <w:rPr>
          <w:rFonts w:hint="eastAsia" w:ascii="宋体" w:hAnsi="宋体" w:cs="MingLiU"/>
          <w:color w:val="auto"/>
          <w:sz w:val="20"/>
          <w:szCs w:val="22"/>
          <w:highlight w:val="none"/>
        </w:rPr>
        <w:t>电    话：</w:t>
      </w:r>
      <w:r>
        <w:rPr>
          <w:rFonts w:hint="eastAsia" w:ascii="宋体" w:hAnsi="宋体" w:cs="MingLiU"/>
          <w:color w:val="auto"/>
          <w:sz w:val="20"/>
          <w:szCs w:val="22"/>
          <w:highlight w:val="none"/>
          <w:u w:val="single"/>
          <w:lang w:val="en-US" w:eastAsia="zh-CN"/>
        </w:rPr>
        <w:t>023-61360909</w:t>
      </w:r>
    </w:p>
    <w:bookmarkEnd w:id="6"/>
    <w:p>
      <w:pPr>
        <w:keepNext w:val="0"/>
        <w:keepLines w:val="0"/>
        <w:pageBreakBefore w:val="0"/>
        <w:kinsoku/>
        <w:wordWrap/>
        <w:overflowPunct/>
        <w:topLinePunct w:val="0"/>
        <w:bidi w:val="0"/>
        <w:spacing w:line="360" w:lineRule="auto"/>
        <w:ind w:firstLine="420" w:firstLineChars="200"/>
        <w:jc w:val="left"/>
        <w:textAlignment w:val="auto"/>
        <w:rPr>
          <w:rFonts w:hint="default" w:ascii="宋体" w:hAnsi="宋体" w:cs="MingLiU"/>
          <w:color w:val="auto"/>
          <w:highlight w:val="none"/>
          <w:lang w:val="en-US" w:eastAsia="zh-CN"/>
        </w:rPr>
      </w:pPr>
    </w:p>
    <w:p>
      <w:pPr>
        <w:pStyle w:val="21"/>
        <w:rPr>
          <w:rFonts w:hint="eastAsia" w:ascii="宋体" w:hAnsi="宋体" w:cs="MingLiU"/>
          <w:color w:val="auto"/>
          <w:highlight w:val="none"/>
          <w:lang w:val="en-US" w:eastAsia="zh-CN"/>
        </w:rPr>
      </w:pPr>
    </w:p>
    <w:p>
      <w:pPr>
        <w:rPr>
          <w:rFonts w:hint="eastAsia" w:ascii="宋体" w:hAnsi="宋体" w:cs="MingLiU"/>
          <w:color w:val="auto"/>
          <w:highlight w:val="none"/>
          <w:lang w:val="en-US" w:eastAsia="zh-CN"/>
        </w:rPr>
      </w:pPr>
    </w:p>
    <w:p>
      <w:pPr>
        <w:pStyle w:val="21"/>
        <w:rPr>
          <w:rFonts w:hint="eastAsia" w:ascii="宋体" w:hAnsi="宋体" w:cs="MingLiU"/>
          <w:color w:val="auto"/>
          <w:highlight w:val="none"/>
          <w:lang w:val="en-US" w:eastAsia="zh-CN"/>
        </w:rPr>
      </w:pPr>
    </w:p>
    <w:p>
      <w:pPr>
        <w:rPr>
          <w:rFonts w:hint="eastAsia" w:ascii="宋体" w:hAnsi="宋体" w:cs="MingLiU"/>
          <w:color w:val="auto"/>
          <w:highlight w:val="none"/>
          <w:lang w:val="en-US" w:eastAsia="zh-CN"/>
        </w:rPr>
      </w:pPr>
    </w:p>
    <w:p>
      <w:pPr>
        <w:pStyle w:val="21"/>
        <w:rPr>
          <w:rFonts w:hint="eastAsia" w:ascii="宋体" w:hAnsi="宋体" w:cs="MingLiU"/>
          <w:color w:val="auto"/>
          <w:highlight w:val="none"/>
          <w:lang w:val="en-US" w:eastAsia="zh-CN"/>
        </w:rPr>
      </w:pPr>
    </w:p>
    <w:p>
      <w:pPr>
        <w:rPr>
          <w:rFonts w:hint="eastAsia" w:ascii="宋体" w:hAnsi="宋体" w:cs="MingLiU"/>
          <w:color w:val="auto"/>
          <w:highlight w:val="none"/>
          <w:lang w:val="en-US" w:eastAsia="zh-CN"/>
        </w:rPr>
      </w:pPr>
    </w:p>
    <w:p>
      <w:pPr>
        <w:pStyle w:val="2"/>
        <w:rPr>
          <w:rFonts w:hint="eastAsia" w:ascii="宋体" w:hAnsi="宋体" w:cs="MingLiU"/>
          <w:color w:val="auto"/>
          <w:highlight w:val="none"/>
          <w:lang w:val="en-US" w:eastAsia="zh-CN"/>
        </w:rPr>
      </w:pPr>
    </w:p>
    <w:p>
      <w:pPr>
        <w:rPr>
          <w:rFonts w:hint="eastAsia" w:ascii="宋体" w:hAnsi="宋体" w:cs="MingLiU"/>
          <w:color w:val="auto"/>
          <w:highlight w:val="none"/>
          <w:lang w:val="en-US" w:eastAsia="zh-CN"/>
        </w:rPr>
      </w:pPr>
    </w:p>
    <w:p>
      <w:pPr>
        <w:pStyle w:val="2"/>
        <w:rPr>
          <w:rFonts w:hint="eastAsia" w:ascii="宋体" w:hAnsi="宋体" w:cs="MingLiU"/>
          <w:color w:val="auto"/>
          <w:highlight w:val="none"/>
          <w:lang w:val="en-US" w:eastAsia="zh-CN"/>
        </w:rPr>
      </w:pPr>
    </w:p>
    <w:p>
      <w:pPr>
        <w:rPr>
          <w:rFonts w:hint="eastAsia" w:ascii="宋体" w:hAnsi="宋体" w:cs="MingLiU"/>
          <w:color w:val="auto"/>
          <w:highlight w:val="none"/>
          <w:lang w:val="en-US" w:eastAsia="zh-CN"/>
        </w:rPr>
      </w:pPr>
    </w:p>
    <w:p>
      <w:pPr>
        <w:pStyle w:val="2"/>
        <w:rPr>
          <w:rFonts w:hint="eastAsia" w:ascii="宋体" w:hAnsi="宋体" w:cs="MingLiU"/>
          <w:color w:val="auto"/>
          <w:highlight w:val="none"/>
          <w:lang w:val="en-US" w:eastAsia="zh-CN"/>
        </w:rPr>
      </w:pPr>
    </w:p>
    <w:p>
      <w:pPr>
        <w:rPr>
          <w:rFonts w:hint="eastAsia" w:ascii="宋体" w:hAnsi="宋体" w:cs="MingLiU"/>
          <w:color w:val="auto"/>
          <w:highlight w:val="none"/>
          <w:lang w:val="en-US" w:eastAsia="zh-CN"/>
        </w:rPr>
      </w:pPr>
    </w:p>
    <w:p>
      <w:pPr>
        <w:pStyle w:val="2"/>
        <w:rPr>
          <w:rFonts w:hint="eastAsia" w:ascii="宋体" w:hAnsi="宋体" w:cs="MingLiU"/>
          <w:color w:val="auto"/>
          <w:highlight w:val="none"/>
          <w:lang w:val="en-US" w:eastAsia="zh-CN"/>
        </w:rPr>
      </w:pPr>
    </w:p>
    <w:p>
      <w:pPr>
        <w:rPr>
          <w:rFonts w:hint="eastAsia" w:ascii="宋体" w:hAnsi="宋体" w:cs="MingLiU"/>
          <w:color w:val="auto"/>
          <w:highlight w:val="none"/>
          <w:lang w:val="en-US" w:eastAsia="zh-CN"/>
        </w:rPr>
      </w:pPr>
    </w:p>
    <w:p>
      <w:pPr>
        <w:pStyle w:val="2"/>
        <w:rPr>
          <w:rFonts w:hint="eastAsia" w:ascii="宋体" w:hAnsi="宋体" w:cs="MingLiU"/>
          <w:color w:val="auto"/>
          <w:highlight w:val="none"/>
          <w:lang w:val="en-US" w:eastAsia="zh-CN"/>
        </w:rPr>
      </w:pPr>
    </w:p>
    <w:p>
      <w:pPr>
        <w:rPr>
          <w:rFonts w:hint="eastAsia" w:ascii="宋体" w:hAnsi="宋体" w:cs="MingLiU"/>
          <w:color w:val="auto"/>
          <w:highlight w:val="none"/>
          <w:lang w:val="en-US" w:eastAsia="zh-CN"/>
        </w:rPr>
      </w:pPr>
    </w:p>
    <w:p>
      <w:pPr>
        <w:pStyle w:val="2"/>
        <w:rPr>
          <w:rFonts w:hint="eastAsia" w:ascii="宋体" w:hAnsi="宋体" w:cs="MingLiU"/>
          <w:color w:val="auto"/>
          <w:highlight w:val="none"/>
          <w:lang w:val="en-US" w:eastAsia="zh-CN"/>
        </w:rPr>
      </w:pPr>
    </w:p>
    <w:p>
      <w:pPr>
        <w:rPr>
          <w:rFonts w:hint="eastAsia"/>
          <w:lang w:val="en-US" w:eastAsia="zh-CN"/>
        </w:rPr>
      </w:pPr>
    </w:p>
    <w:p>
      <w:pPr>
        <w:pStyle w:val="21"/>
        <w:rPr>
          <w:rFonts w:hint="eastAsia" w:ascii="宋体" w:hAnsi="宋体" w:cs="MingLiU"/>
          <w:color w:val="auto"/>
          <w:highlight w:val="none"/>
          <w:lang w:val="en-US" w:eastAsia="zh-CN"/>
        </w:rPr>
      </w:pPr>
    </w:p>
    <w:p>
      <w:pPr>
        <w:rPr>
          <w:rFonts w:hint="eastAsia" w:ascii="宋体" w:hAnsi="宋体" w:cs="MingLiU"/>
          <w:color w:val="auto"/>
          <w:highlight w:val="none"/>
          <w:lang w:val="en-US" w:eastAsia="zh-CN"/>
        </w:rPr>
      </w:pPr>
    </w:p>
    <w:p>
      <w:pPr>
        <w:pStyle w:val="50"/>
        <w:rPr>
          <w:rFonts w:hint="eastAsia" w:ascii="宋体" w:hAnsi="宋体" w:cs="MingLiU"/>
          <w:color w:val="auto"/>
          <w:highlight w:val="none"/>
          <w:lang w:val="en-US" w:eastAsia="zh-CN"/>
        </w:rPr>
      </w:pPr>
    </w:p>
    <w:p>
      <w:pPr>
        <w:rPr>
          <w:rFonts w:hint="eastAsia" w:ascii="宋体" w:hAnsi="宋体" w:cs="MingLiU"/>
          <w:color w:val="auto"/>
          <w:highlight w:val="none"/>
          <w:lang w:val="en-US" w:eastAsia="zh-CN"/>
        </w:rPr>
      </w:pPr>
    </w:p>
    <w:p>
      <w:pPr>
        <w:rPr>
          <w:rFonts w:hint="eastAsia"/>
          <w:color w:val="auto"/>
          <w:highlight w:val="none"/>
          <w:lang w:val="en-US" w:eastAsia="zh-CN"/>
        </w:rPr>
      </w:pPr>
    </w:p>
    <w:p>
      <w:pPr>
        <w:rPr>
          <w:rFonts w:hint="default"/>
          <w:color w:val="auto"/>
          <w:highlight w:val="none"/>
          <w:lang w:val="en-US" w:eastAsia="zh-CN"/>
        </w:rPr>
      </w:pPr>
    </w:p>
    <w:bookmarkEnd w:id="4"/>
    <w:p>
      <w:pPr>
        <w:pStyle w:val="3"/>
        <w:bidi w:val="0"/>
        <w:ind w:left="5100" w:leftChars="0" w:firstLineChars="0"/>
        <w:jc w:val="left"/>
        <w:rPr>
          <w:rFonts w:hint="eastAsia"/>
          <w:color w:val="auto"/>
          <w:highlight w:val="none"/>
        </w:rPr>
      </w:pPr>
      <w:bookmarkStart w:id="18" w:name="_Toc11647"/>
      <w:r>
        <w:rPr>
          <w:rFonts w:hint="eastAsia"/>
          <w:color w:val="auto"/>
          <w:highlight w:val="none"/>
          <w:lang w:eastAsia="zh-CN"/>
        </w:rPr>
        <w:t>参选</w:t>
      </w:r>
      <w:r>
        <w:rPr>
          <w:rFonts w:hint="eastAsia"/>
          <w:color w:val="auto"/>
          <w:highlight w:val="none"/>
        </w:rPr>
        <w:t>人须知</w:t>
      </w:r>
      <w:bookmarkEnd w:id="7"/>
      <w:bookmarkEnd w:id="8"/>
      <w:bookmarkEnd w:id="18"/>
    </w:p>
    <w:tbl>
      <w:tblPr>
        <w:tblStyle w:val="54"/>
        <w:tblW w:w="100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730"/>
        <w:gridCol w:w="7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blHeader/>
        </w:trPr>
        <w:tc>
          <w:tcPr>
            <w:tcW w:w="1188" w:type="dxa"/>
            <w:noWrap w:val="0"/>
            <w:vAlign w:val="center"/>
          </w:tcPr>
          <w:p>
            <w:pPr>
              <w:snapToGrid w:val="0"/>
              <w:spacing w:line="420" w:lineRule="exact"/>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条 款 号</w:t>
            </w:r>
          </w:p>
        </w:tc>
        <w:tc>
          <w:tcPr>
            <w:tcW w:w="1730" w:type="dxa"/>
            <w:noWrap w:val="0"/>
            <w:vAlign w:val="center"/>
          </w:tcPr>
          <w:p>
            <w:pPr>
              <w:snapToGrid w:val="0"/>
              <w:spacing w:line="420" w:lineRule="exact"/>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条款名称</w:t>
            </w:r>
          </w:p>
        </w:tc>
        <w:tc>
          <w:tcPr>
            <w:tcW w:w="7134" w:type="dxa"/>
            <w:noWrap w:val="0"/>
            <w:vAlign w:val="center"/>
          </w:tcPr>
          <w:p>
            <w:pPr>
              <w:snapToGrid w:val="0"/>
              <w:spacing w:line="420" w:lineRule="exact"/>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比选人</w:t>
            </w:r>
          </w:p>
        </w:tc>
        <w:tc>
          <w:tcPr>
            <w:tcW w:w="7134" w:type="dxa"/>
            <w:noWrap w:val="0"/>
            <w:vAlign w:val="center"/>
          </w:tcPr>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0"/>
                <w:szCs w:val="22"/>
                <w:highlight w:val="none"/>
              </w:rPr>
            </w:pPr>
            <w:r>
              <w:rPr>
                <w:rFonts w:hint="eastAsia" w:ascii="宋体" w:hAnsi="宋体" w:eastAsia="宋体" w:cs="宋体"/>
                <w:color w:val="auto"/>
                <w:sz w:val="20"/>
                <w:szCs w:val="22"/>
                <w:highlight w:val="none"/>
              </w:rPr>
              <w:t>比选人：</w:t>
            </w:r>
            <w:r>
              <w:rPr>
                <w:rFonts w:hint="eastAsia" w:ascii="宋体" w:hAnsi="宋体" w:eastAsia="宋体" w:cs="宋体"/>
                <w:color w:val="auto"/>
                <w:sz w:val="20"/>
                <w:szCs w:val="22"/>
                <w:highlight w:val="none"/>
                <w:u w:val="single"/>
                <w:lang w:eastAsia="zh-CN"/>
              </w:rPr>
              <w:t>重庆山水城文化旅游发展有限公司</w:t>
            </w:r>
            <w:r>
              <w:rPr>
                <w:rFonts w:hint="eastAsia" w:ascii="宋体" w:hAnsi="宋体" w:eastAsia="宋体" w:cs="宋体"/>
                <w:color w:val="auto"/>
                <w:sz w:val="20"/>
                <w:szCs w:val="22"/>
                <w:highlight w:val="none"/>
                <w:u w:val="single"/>
              </w:rPr>
              <w:t xml:space="preserve"> </w:t>
            </w:r>
            <w:r>
              <w:rPr>
                <w:rFonts w:hint="eastAsia" w:ascii="宋体" w:hAnsi="宋体" w:eastAsia="宋体" w:cs="宋体"/>
                <w:color w:val="auto"/>
                <w:sz w:val="20"/>
                <w:szCs w:val="22"/>
                <w:highlight w:val="none"/>
              </w:rPr>
              <w:t xml:space="preserve">    </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0"/>
                <w:szCs w:val="22"/>
                <w:highlight w:val="none"/>
              </w:rPr>
            </w:pPr>
            <w:r>
              <w:rPr>
                <w:rFonts w:hint="eastAsia" w:ascii="宋体" w:hAnsi="宋体" w:eastAsia="宋体" w:cs="宋体"/>
                <w:color w:val="auto"/>
                <w:sz w:val="20"/>
                <w:szCs w:val="22"/>
                <w:highlight w:val="none"/>
              </w:rPr>
              <w:t>地    址：</w:t>
            </w:r>
            <w:r>
              <w:rPr>
                <w:rFonts w:hint="eastAsia" w:ascii="宋体" w:hAnsi="宋体" w:eastAsia="宋体" w:cs="宋体"/>
                <w:color w:val="auto"/>
                <w:sz w:val="20"/>
                <w:szCs w:val="22"/>
                <w:highlight w:val="none"/>
                <w:u w:val="single"/>
                <w:lang w:eastAsia="zh-CN"/>
              </w:rPr>
              <w:t>重庆市渝中区金渝大厦38楼山水城</w:t>
            </w:r>
            <w:r>
              <w:rPr>
                <w:rFonts w:hint="eastAsia" w:ascii="宋体" w:hAnsi="宋体" w:cs="宋体"/>
                <w:color w:val="auto"/>
                <w:sz w:val="20"/>
                <w:szCs w:val="22"/>
                <w:highlight w:val="none"/>
                <w:u w:val="single"/>
                <w:lang w:val="en-US" w:eastAsia="zh-CN"/>
              </w:rPr>
              <w:t>文旅</w:t>
            </w:r>
            <w:r>
              <w:rPr>
                <w:rFonts w:hint="eastAsia" w:ascii="宋体" w:hAnsi="宋体" w:eastAsia="宋体" w:cs="宋体"/>
                <w:color w:val="auto"/>
                <w:sz w:val="20"/>
                <w:szCs w:val="22"/>
                <w:highlight w:val="none"/>
                <w:u w:val="single"/>
                <w:lang w:eastAsia="zh-CN"/>
              </w:rPr>
              <w:t>公司会议室</w:t>
            </w:r>
            <w:r>
              <w:rPr>
                <w:rFonts w:hint="eastAsia" w:ascii="宋体" w:hAnsi="宋体" w:eastAsia="宋体" w:cs="宋体"/>
                <w:color w:val="auto"/>
                <w:sz w:val="20"/>
                <w:szCs w:val="22"/>
                <w:highlight w:val="none"/>
              </w:rPr>
              <w:t xml:space="preserve"> </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0"/>
                <w:szCs w:val="22"/>
                <w:highlight w:val="none"/>
              </w:rPr>
            </w:pPr>
            <w:r>
              <w:rPr>
                <w:rFonts w:hint="eastAsia" w:ascii="宋体" w:hAnsi="宋体" w:eastAsia="宋体" w:cs="宋体"/>
                <w:color w:val="auto"/>
                <w:sz w:val="20"/>
                <w:szCs w:val="22"/>
                <w:highlight w:val="none"/>
              </w:rPr>
              <w:t>联 系 人：</w:t>
            </w:r>
            <w:r>
              <w:rPr>
                <w:rFonts w:hint="eastAsia" w:ascii="宋体" w:hAnsi="宋体" w:eastAsia="宋体" w:cs="宋体"/>
                <w:color w:val="auto"/>
                <w:sz w:val="20"/>
                <w:szCs w:val="22"/>
                <w:highlight w:val="none"/>
                <w:u w:val="single"/>
                <w:lang w:val="en-US" w:eastAsia="zh-CN"/>
              </w:rPr>
              <w:t>吴</w:t>
            </w:r>
            <w:r>
              <w:rPr>
                <w:rFonts w:hint="eastAsia" w:ascii="宋体" w:hAnsi="宋体" w:eastAsia="宋体" w:cs="宋体"/>
                <w:color w:val="auto"/>
                <w:sz w:val="20"/>
                <w:szCs w:val="22"/>
                <w:highlight w:val="none"/>
                <w:u w:val="single"/>
              </w:rPr>
              <w:t xml:space="preserve">老师 </w:t>
            </w:r>
            <w:r>
              <w:rPr>
                <w:rFonts w:hint="eastAsia" w:ascii="宋体" w:hAnsi="宋体" w:eastAsia="宋体" w:cs="宋体"/>
                <w:color w:val="auto"/>
                <w:sz w:val="20"/>
                <w:szCs w:val="22"/>
                <w:highlight w:val="none"/>
              </w:rPr>
              <w:t xml:space="preserve">                    </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sz w:val="20"/>
                <w:szCs w:val="22"/>
                <w:highlight w:val="none"/>
              </w:rPr>
              <w:t>电    话：</w:t>
            </w:r>
            <w:r>
              <w:rPr>
                <w:rFonts w:hint="eastAsia" w:ascii="宋体" w:hAnsi="宋体" w:eastAsia="宋体" w:cs="宋体"/>
                <w:color w:val="auto"/>
                <w:sz w:val="20"/>
                <w:szCs w:val="22"/>
                <w:highlight w:val="none"/>
                <w:u w:val="single"/>
                <w:lang w:val="en-US" w:eastAsia="zh-CN"/>
              </w:rPr>
              <w:t>023-61360909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比选代理机构</w:t>
            </w:r>
          </w:p>
        </w:tc>
        <w:tc>
          <w:tcPr>
            <w:tcW w:w="7134" w:type="dxa"/>
            <w:noWrap w:val="0"/>
            <w:vAlign w:val="center"/>
          </w:tcPr>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项目名称</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lang w:val="en-US" w:eastAsia="zh-CN"/>
              </w:rPr>
              <w:t>2026年重庆之夜·</w:t>
            </w:r>
            <w:r>
              <w:rPr>
                <w:rFonts w:hint="eastAsia" w:ascii="宋体" w:hAnsi="宋体" w:cs="宋体"/>
                <w:bCs/>
                <w:color w:val="auto"/>
                <w:kern w:val="0"/>
                <w:szCs w:val="21"/>
                <w:highlight w:val="none"/>
                <w:lang w:eastAsia="zh-CN"/>
              </w:rPr>
              <w:t>国际光影文化旅游季</w:t>
            </w:r>
            <w:r>
              <w:rPr>
                <w:rFonts w:hint="eastAsia" w:ascii="宋体" w:hAnsi="宋体" w:cs="宋体"/>
                <w:bCs/>
                <w:color w:val="auto"/>
                <w:kern w:val="0"/>
                <w:szCs w:val="21"/>
                <w:highlight w:val="none"/>
                <w:lang w:val="en-US" w:eastAsia="zh-CN"/>
              </w:rPr>
              <w:t>总</w:t>
            </w:r>
            <w:r>
              <w:rPr>
                <w:rFonts w:hint="eastAsia" w:ascii="宋体" w:hAnsi="宋体" w:cs="宋体"/>
                <w:bCs/>
                <w:color w:val="auto"/>
                <w:kern w:val="0"/>
                <w:szCs w:val="21"/>
                <w:highlight w:val="none"/>
                <w:lang w:eastAsia="zh-CN"/>
              </w:rPr>
              <w:t>策划</w:t>
            </w:r>
            <w:r>
              <w:rPr>
                <w:rFonts w:hint="eastAsia" w:ascii="宋体" w:hAnsi="宋体" w:cs="宋体"/>
                <w:bCs/>
                <w:color w:val="auto"/>
                <w:kern w:val="0"/>
                <w:szCs w:val="21"/>
                <w:highlight w:val="none"/>
                <w:lang w:val="en-US" w:eastAsia="zh-CN"/>
              </w:rPr>
              <w:t>编制</w:t>
            </w:r>
            <w:r>
              <w:rPr>
                <w:rFonts w:hint="eastAsia" w:ascii="宋体" w:hAnsi="宋体" w:cs="宋体"/>
                <w:bCs/>
                <w:color w:val="auto"/>
                <w:kern w:val="0"/>
                <w:szCs w:val="21"/>
                <w:highlight w:val="none"/>
                <w:lang w:eastAsia="zh-CN"/>
              </w:rPr>
              <w:t>及</w:t>
            </w:r>
            <w:r>
              <w:rPr>
                <w:rFonts w:hint="eastAsia" w:ascii="宋体" w:hAnsi="宋体" w:cs="宋体"/>
                <w:bCs/>
                <w:color w:val="auto"/>
                <w:kern w:val="0"/>
                <w:szCs w:val="21"/>
                <w:highlight w:val="none"/>
                <w:lang w:val="en-US" w:eastAsia="zh-CN"/>
              </w:rPr>
              <w:t>内容设计</w:t>
            </w:r>
            <w:r>
              <w:rPr>
                <w:rFonts w:hint="eastAsia" w:ascii="宋体" w:hAnsi="宋体" w:cs="宋体"/>
                <w:bCs/>
                <w:color w:val="auto"/>
                <w:kern w:val="0"/>
                <w:szCs w:val="21"/>
                <w:highlight w:val="none"/>
                <w:lang w:eastAsia="zh-CN"/>
              </w:rPr>
              <w:t>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建设地点</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重庆市儿童公园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资金来源</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kern w:val="0"/>
                <w:szCs w:val="21"/>
                <w:highlight w:val="none"/>
                <w:lang w:val="en-US"/>
              </w:rPr>
            </w:pPr>
            <w:r>
              <w:rPr>
                <w:rFonts w:hint="eastAsia" w:ascii="宋体" w:hAnsi="宋体" w:eastAsia="宋体" w:cs="宋体"/>
                <w:bCs/>
                <w:color w:val="auto"/>
                <w:kern w:val="0"/>
                <w:szCs w:val="21"/>
                <w:highlight w:val="none"/>
                <w:u w:val="none"/>
                <w:lang w:val="en-US" w:eastAsia="zh-CN"/>
              </w:rPr>
              <w:t>业主自筹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资金落实情况</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比选范围</w:t>
            </w:r>
          </w:p>
        </w:tc>
        <w:tc>
          <w:tcPr>
            <w:tcW w:w="7134" w:type="dxa"/>
            <w:noWrap w:val="0"/>
            <w:vAlign w:val="center"/>
          </w:tcPr>
          <w:p>
            <w:pPr>
              <w:keepNext w:val="0"/>
              <w:keepLines w:val="0"/>
              <w:pageBreakBefore w:val="0"/>
              <w:kinsoku/>
              <w:wordWrap/>
              <w:overflowPunct/>
              <w:topLinePunct w:val="0"/>
              <w:autoSpaceDE/>
              <w:autoSpaceDN/>
              <w:bidi w:val="0"/>
              <w:adjustRightInd/>
              <w:spacing w:line="240" w:lineRule="auto"/>
              <w:jc w:val="left"/>
              <w:textAlignment w:val="auto"/>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详见比选公告2.3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时间要求</w:t>
            </w:r>
          </w:p>
        </w:tc>
        <w:tc>
          <w:tcPr>
            <w:tcW w:w="7134" w:type="dxa"/>
            <w:noWrap w:val="0"/>
            <w:vAlign w:val="center"/>
          </w:tcPr>
          <w:p>
            <w:pPr>
              <w:spacing w:line="360" w:lineRule="auto"/>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详见比选公告2.4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9</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质量要求</w:t>
            </w:r>
          </w:p>
        </w:tc>
        <w:tc>
          <w:tcPr>
            <w:tcW w:w="7134" w:type="dxa"/>
            <w:noWrap w:val="0"/>
            <w:vAlign w:val="center"/>
          </w:tcPr>
          <w:p>
            <w:pPr>
              <w:keepNext w:val="0"/>
              <w:keepLines w:val="0"/>
              <w:pageBreakBefore w:val="0"/>
              <w:numPr>
                <w:ilvl w:val="0"/>
                <w:numId w:val="0"/>
              </w:numPr>
              <w:kinsoku/>
              <w:wordWrap/>
              <w:overflowPunct/>
              <w:topLinePunct w:val="0"/>
              <w:autoSpaceDE/>
              <w:autoSpaceDN/>
              <w:bidi w:val="0"/>
              <w:adjustRightInd/>
              <w:snapToGrid w:val="0"/>
              <w:spacing w:line="240" w:lineRule="auto"/>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按照第五章要求完成总策划编制及光影作品内容邀约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人资质条件、能力和信誉</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highlight w:val="none"/>
              </w:rPr>
            </w:pPr>
          </w:p>
        </w:tc>
        <w:tc>
          <w:tcPr>
            <w:tcW w:w="7134" w:type="dxa"/>
            <w:noWrap w:val="0"/>
            <w:vAlign w:val="center"/>
          </w:tcPr>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eastAsia="宋体" w:cs="宋体"/>
                <w:color w:val="auto"/>
                <w:highlight w:val="none"/>
              </w:rPr>
              <w:t>本</w:t>
            </w:r>
            <w:r>
              <w:rPr>
                <w:rFonts w:hint="eastAsia" w:ascii="宋体" w:hAnsi="宋体" w:cs="宋体"/>
                <w:color w:val="auto"/>
                <w:highlight w:val="none"/>
                <w:lang w:val="en-US" w:eastAsia="zh-CN"/>
              </w:rPr>
              <w:t>次采购</w:t>
            </w:r>
            <w:r>
              <w:rPr>
                <w:rFonts w:hint="eastAsia" w:ascii="宋体" w:hAnsi="宋体" w:eastAsia="宋体" w:cs="宋体"/>
                <w:color w:val="auto"/>
                <w:highlight w:val="none"/>
              </w:rPr>
              <w:t>比选实行资格后审，</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人应具备以下资格条件：</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1、资格要求：</w:t>
            </w:r>
            <w:r>
              <w:rPr>
                <w:rFonts w:hint="eastAsia" w:ascii="宋体" w:hAnsi="宋体" w:eastAsia="宋体" w:cs="宋体"/>
                <w:color w:val="auto"/>
                <w:highlight w:val="none"/>
              </w:rPr>
              <w:t>具备有效的营业执照</w:t>
            </w:r>
            <w:r>
              <w:rPr>
                <w:rFonts w:hint="eastAsia" w:ascii="宋体" w:hAnsi="宋体" w:cs="宋体"/>
                <w:color w:val="auto"/>
                <w:highlight w:val="none"/>
                <w:lang w:eastAsia="zh-CN"/>
              </w:rPr>
              <w:t>，</w:t>
            </w:r>
            <w:r>
              <w:rPr>
                <w:rFonts w:hint="eastAsia" w:ascii="宋体" w:hAnsi="宋体" w:cs="宋体"/>
                <w:color w:val="auto"/>
                <w:highlight w:val="none"/>
                <w:lang w:val="en-US" w:eastAsia="zh-CN"/>
              </w:rPr>
              <w:t>营业执照经营范围需包含项目策划与公关服务或数字内容制作服务或摄像及视频制作服务或相关经营事项。</w:t>
            </w:r>
          </w:p>
          <w:p>
            <w:pPr>
              <w:keepNext w:val="0"/>
              <w:keepLines w:val="0"/>
              <w:pageBreakBefore w:val="0"/>
              <w:kinsoku/>
              <w:wordWrap/>
              <w:overflowPunct/>
              <w:topLinePunct w:val="0"/>
              <w:autoSpaceDE/>
              <w:autoSpaceDN/>
              <w:bidi w:val="0"/>
              <w:adjustRightInd/>
              <w:spacing w:line="240" w:lineRule="auto"/>
              <w:ind w:firstLine="630" w:firstLineChars="300"/>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人须在</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文件资格审查部分提供有效的带二维码标识的营业执照复印件。</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截止日</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资格情况</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人自行承诺不得存在下列情形之一：</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eastAsia="宋体" w:cs="宋体"/>
                <w:color w:val="auto"/>
                <w:highlight w:val="none"/>
              </w:rPr>
              <w:t>（1）被人民法院在“信用中国”网站（www.creditchina.gov.cn）列入失信被执行人名单且在被执行期内；</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eastAsia="宋体" w:cs="宋体"/>
                <w:color w:val="auto"/>
                <w:highlight w:val="none"/>
              </w:rPr>
              <w:t>（2）被列入《重庆市工程建设领域</w:t>
            </w:r>
            <w:r>
              <w:rPr>
                <w:rFonts w:hint="eastAsia" w:ascii="宋体" w:hAnsi="宋体" w:eastAsia="宋体" w:cs="宋体"/>
                <w:color w:val="auto"/>
                <w:highlight w:val="none"/>
                <w:lang w:eastAsia="zh-CN"/>
              </w:rPr>
              <w:t>比选参选</w:t>
            </w:r>
            <w:r>
              <w:rPr>
                <w:rFonts w:hint="eastAsia" w:ascii="宋体" w:hAnsi="宋体" w:eastAsia="宋体" w:cs="宋体"/>
                <w:color w:val="auto"/>
                <w:highlight w:val="none"/>
              </w:rPr>
              <w:t>信用管理暂行办法》规定的重点关注名单且记分达到12分且在记分有效期内；</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eastAsia="宋体" w:cs="宋体"/>
                <w:color w:val="auto"/>
                <w:highlight w:val="none"/>
              </w:rPr>
              <w:t>（3）被列入《重庆市工程建设领域</w:t>
            </w:r>
            <w:r>
              <w:rPr>
                <w:rFonts w:hint="eastAsia" w:ascii="宋体" w:hAnsi="宋体" w:eastAsia="宋体" w:cs="宋体"/>
                <w:color w:val="auto"/>
                <w:highlight w:val="none"/>
                <w:lang w:eastAsia="zh-CN"/>
              </w:rPr>
              <w:t>比选参选</w:t>
            </w:r>
            <w:r>
              <w:rPr>
                <w:rFonts w:hint="eastAsia" w:ascii="宋体" w:hAnsi="宋体" w:eastAsia="宋体" w:cs="宋体"/>
                <w:color w:val="auto"/>
                <w:highlight w:val="none"/>
              </w:rPr>
              <w:t>信用管理暂行办法》规定的重庆市工程建设领域</w:t>
            </w:r>
            <w:r>
              <w:rPr>
                <w:rFonts w:hint="eastAsia" w:ascii="宋体" w:hAnsi="宋体" w:eastAsia="宋体" w:cs="宋体"/>
                <w:color w:val="auto"/>
                <w:highlight w:val="none"/>
                <w:lang w:eastAsia="zh-CN"/>
              </w:rPr>
              <w:t>比选参选</w:t>
            </w:r>
            <w:r>
              <w:rPr>
                <w:rFonts w:hint="eastAsia" w:ascii="宋体" w:hAnsi="宋体" w:eastAsia="宋体" w:cs="宋体"/>
                <w:color w:val="auto"/>
                <w:highlight w:val="none"/>
              </w:rPr>
              <w:t>失信惩戒对象名单（以下称黑名单）且在记分有效期内；</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eastAsia="宋体" w:cs="宋体"/>
                <w:color w:val="auto"/>
                <w:highlight w:val="none"/>
              </w:rPr>
              <w:t>（4）被国家、重庆市（含市或任意区县）有关行政部门处以暂停</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资格行政处罚，且在处罚期限内；</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eastAsia="宋体" w:cs="宋体"/>
                <w:color w:val="auto"/>
                <w:highlight w:val="none"/>
              </w:rPr>
              <w:t>（5）被重庆市建设主管部门暂停在渝承揽新业务且在暂停期内；</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eastAsia="宋体" w:cs="宋体"/>
                <w:color w:val="auto"/>
                <w:highlight w:val="none"/>
              </w:rPr>
              <w:t>（6）被责令停业，暂扣或吊销执照，或吊销资质证书；</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eastAsia="宋体" w:cs="宋体"/>
                <w:color w:val="auto"/>
                <w:highlight w:val="none"/>
              </w:rPr>
              <w:t>（7）进入清算程序，或被宣告破产，或其他丧失履约能力的情形；</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）在国家企业信用信息公示系统（http://www.gsxt.gov.cn/）中被列入严重违法失信企业名单；</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eastAsia="宋体" w:cs="宋体"/>
                <w:color w:val="auto"/>
                <w:highlight w:val="none"/>
              </w:rPr>
              <w:t>（9）</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人或其法定代表人在近两年内有行贿犯罪行为。</w:t>
            </w:r>
          </w:p>
          <w:p>
            <w:pPr>
              <w:pStyle w:val="21"/>
              <w:keepNext w:val="0"/>
              <w:keepLines w:val="0"/>
              <w:pageBreakBefore w:val="0"/>
              <w:kinsoku/>
              <w:wordWrap/>
              <w:overflowPunct/>
              <w:topLinePunct w:val="0"/>
              <w:autoSpaceDE/>
              <w:autoSpaceDN/>
              <w:bidi w:val="0"/>
              <w:adjustRightInd/>
              <w:spacing w:line="240" w:lineRule="auto"/>
              <w:ind w:firstLine="630" w:firstLineChars="300"/>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参选人须在参选文件资格审查部分提供承诺（格式自拟</w:t>
            </w:r>
            <w:r>
              <w:rPr>
                <w:rFonts w:hint="eastAsia" w:ascii="宋体" w:hAnsi="宋体" w:cs="宋体"/>
                <w:color w:val="auto"/>
                <w:kern w:val="2"/>
                <w:sz w:val="21"/>
                <w:szCs w:val="24"/>
                <w:highlight w:val="none"/>
                <w:lang w:val="en-US" w:eastAsia="zh-CN" w:bidi="ar-SA"/>
              </w:rPr>
              <w:t>，也可参考第六章参选文件格式中承诺格式）</w:t>
            </w:r>
            <w:r>
              <w:rPr>
                <w:rFonts w:hint="eastAsia" w:ascii="宋体" w:hAnsi="宋体" w:eastAsia="宋体" w:cs="宋体"/>
                <w:color w:val="auto"/>
                <w:kern w:val="2"/>
                <w:sz w:val="21"/>
                <w:szCs w:val="24"/>
                <w:highlight w:val="none"/>
                <w:lang w:val="en-US" w:eastAsia="zh-CN" w:bidi="ar-SA"/>
              </w:rPr>
              <w:t>。</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、其他要求</w:t>
            </w:r>
          </w:p>
          <w:p>
            <w:pPr>
              <w:keepNext w:val="0"/>
              <w:keepLines w:val="0"/>
              <w:pageBreakBefore w:val="0"/>
              <w:kinsoku/>
              <w:wordWrap/>
              <w:overflowPunct/>
              <w:topLinePunct w:val="0"/>
              <w:autoSpaceDE/>
              <w:autoSpaceDN/>
              <w:bidi w:val="0"/>
              <w:adjustRightInd/>
              <w:spacing w:line="240" w:lineRule="auto"/>
              <w:ind w:firstLine="42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3.1</w:t>
            </w:r>
            <w:r>
              <w:rPr>
                <w:rFonts w:hint="eastAsia" w:ascii="宋体" w:hAnsi="宋体" w:eastAsia="宋体" w:cs="宋体"/>
                <w:color w:val="auto"/>
                <w:highlight w:val="none"/>
              </w:rPr>
              <w:t>委托代理人必须为</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人本单位人员</w:t>
            </w:r>
            <w:r>
              <w:rPr>
                <w:rFonts w:hint="eastAsia" w:ascii="宋体" w:hAnsi="宋体" w:cs="宋体"/>
                <w:color w:val="auto"/>
                <w:highlight w:val="none"/>
                <w:lang w:eastAsia="zh-CN"/>
              </w:rPr>
              <w:t>，</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人须在</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文件资格审查部分须提供本单位为其缴纳的202</w:t>
            </w:r>
            <w:r>
              <w:rPr>
                <w:rFonts w:hint="eastAsia" w:ascii="宋体" w:hAnsi="宋体" w:cs="宋体"/>
                <w:color w:val="auto"/>
                <w:highlight w:val="none"/>
                <w:lang w:val="en-US" w:eastAsia="zh-CN"/>
              </w:rPr>
              <w:t>5</w:t>
            </w:r>
            <w:r>
              <w:rPr>
                <w:rFonts w:hint="eastAsia" w:ascii="宋体" w:hAnsi="宋体" w:eastAsia="宋体" w:cs="宋体"/>
                <w:color w:val="auto"/>
                <w:highlight w:val="none"/>
              </w:rPr>
              <w:t>年</w:t>
            </w:r>
            <w:r>
              <w:rPr>
                <w:rFonts w:hint="eastAsia" w:ascii="宋体" w:hAnsi="宋体" w:cs="宋体"/>
                <w:color w:val="auto"/>
                <w:highlight w:val="none"/>
                <w:lang w:val="en-US" w:eastAsia="zh-CN"/>
              </w:rPr>
              <w:t>1</w:t>
            </w:r>
            <w:r>
              <w:rPr>
                <w:rFonts w:hint="eastAsia" w:ascii="宋体" w:hAnsi="宋体" w:eastAsia="宋体" w:cs="宋体"/>
                <w:color w:val="auto"/>
                <w:highlight w:val="none"/>
              </w:rPr>
              <w:t>月至202</w:t>
            </w:r>
            <w:r>
              <w:rPr>
                <w:rFonts w:hint="eastAsia" w:ascii="宋体" w:hAnsi="宋体" w:cs="宋体"/>
                <w:color w:val="auto"/>
                <w:highlight w:val="none"/>
                <w:lang w:val="en-US" w:eastAsia="zh-CN"/>
              </w:rPr>
              <w:t>5</w:t>
            </w:r>
            <w:r>
              <w:rPr>
                <w:rFonts w:hint="eastAsia" w:ascii="宋体" w:hAnsi="宋体" w:eastAsia="宋体" w:cs="宋体"/>
                <w:color w:val="auto"/>
                <w:highlight w:val="none"/>
              </w:rPr>
              <w:t>年</w:t>
            </w:r>
            <w:r>
              <w:rPr>
                <w:rFonts w:hint="eastAsia" w:ascii="宋体" w:hAnsi="宋体" w:cs="宋体"/>
                <w:color w:val="auto"/>
                <w:highlight w:val="none"/>
                <w:lang w:val="en-US" w:eastAsia="zh-CN"/>
              </w:rPr>
              <w:t>11</w:t>
            </w:r>
            <w:r>
              <w:rPr>
                <w:rFonts w:hint="eastAsia" w:ascii="宋体" w:hAnsi="宋体" w:eastAsia="宋体" w:cs="宋体"/>
                <w:color w:val="auto"/>
                <w:highlight w:val="none"/>
              </w:rPr>
              <w:t>月的连续养老保险参保证明，养老保险参保证明必须包含身份证号（或社保号）和参保基本情况、参保缴费明细（养老保险），并带有社保部门公章或社保部门的有效电子印章及查询码。且上述相关证明材料复印件均应加盖</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单位公章。否则，将由比选小组否决</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处理。</w:t>
            </w:r>
          </w:p>
          <w:p>
            <w:pPr>
              <w:keepNext w:val="0"/>
              <w:keepLines w:val="0"/>
              <w:pageBreakBefore w:val="0"/>
              <w:kinsoku/>
              <w:wordWrap/>
              <w:overflowPunct/>
              <w:topLinePunct w:val="0"/>
              <w:autoSpaceDE/>
              <w:autoSpaceDN/>
              <w:bidi w:val="0"/>
              <w:adjustRightInd/>
              <w:spacing w:line="240" w:lineRule="auto"/>
              <w:ind w:firstLine="42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注：</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文件递交时由</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人法定代表人或委托代理人持本人身份证原件、法定代表人身份证明原件（委托代理人须持法定代表人授权委托书原件）、营业执照和本单位为其缴纳的202</w:t>
            </w:r>
            <w:r>
              <w:rPr>
                <w:rFonts w:hint="eastAsia" w:ascii="宋体" w:hAnsi="宋体" w:cs="宋体"/>
                <w:color w:val="auto"/>
                <w:highlight w:val="none"/>
                <w:lang w:val="en-US" w:eastAsia="zh-CN"/>
              </w:rPr>
              <w:t>5</w:t>
            </w:r>
            <w:r>
              <w:rPr>
                <w:rFonts w:hint="eastAsia" w:ascii="宋体" w:hAnsi="宋体" w:eastAsia="宋体" w:cs="宋体"/>
                <w:color w:val="auto"/>
                <w:highlight w:val="none"/>
              </w:rPr>
              <w:t>年</w:t>
            </w:r>
            <w:r>
              <w:rPr>
                <w:rFonts w:hint="eastAsia" w:ascii="宋体" w:hAnsi="宋体" w:cs="宋体"/>
                <w:color w:val="auto"/>
                <w:highlight w:val="none"/>
                <w:lang w:val="en-US" w:eastAsia="zh-CN"/>
              </w:rPr>
              <w:t>1</w:t>
            </w:r>
            <w:r>
              <w:rPr>
                <w:rFonts w:hint="eastAsia" w:ascii="宋体" w:hAnsi="宋体" w:eastAsia="宋体" w:cs="宋体"/>
                <w:color w:val="auto"/>
                <w:highlight w:val="none"/>
              </w:rPr>
              <w:t>月至202</w:t>
            </w:r>
            <w:r>
              <w:rPr>
                <w:rFonts w:hint="eastAsia" w:ascii="宋体" w:hAnsi="宋体" w:cs="宋体"/>
                <w:color w:val="auto"/>
                <w:highlight w:val="none"/>
                <w:lang w:val="en-US" w:eastAsia="zh-CN"/>
              </w:rPr>
              <w:t>5</w:t>
            </w:r>
            <w:r>
              <w:rPr>
                <w:rFonts w:hint="eastAsia" w:ascii="宋体" w:hAnsi="宋体" w:eastAsia="宋体" w:cs="宋体"/>
                <w:color w:val="auto"/>
                <w:highlight w:val="none"/>
              </w:rPr>
              <w:t>年</w:t>
            </w:r>
            <w:r>
              <w:rPr>
                <w:rFonts w:hint="eastAsia" w:ascii="宋体" w:hAnsi="宋体" w:cs="宋体"/>
                <w:color w:val="auto"/>
                <w:highlight w:val="none"/>
                <w:lang w:val="en-US" w:eastAsia="zh-CN"/>
              </w:rPr>
              <w:t>11</w:t>
            </w:r>
            <w:r>
              <w:rPr>
                <w:rFonts w:hint="eastAsia" w:ascii="宋体" w:hAnsi="宋体" w:eastAsia="宋体" w:cs="宋体"/>
                <w:color w:val="auto"/>
                <w:highlight w:val="none"/>
              </w:rPr>
              <w:t>月社保证明（复印件加盖公章）以确认其身份合法有效。若经核实委托代理人提供资料与实际不符的，不得参加开标会议。</w:t>
            </w:r>
          </w:p>
          <w:p>
            <w:pPr>
              <w:keepNext w:val="0"/>
              <w:keepLines w:val="0"/>
              <w:pageBreakBefore w:val="0"/>
              <w:kinsoku/>
              <w:wordWrap/>
              <w:overflowPunct/>
              <w:topLinePunct w:val="0"/>
              <w:autoSpaceDE/>
              <w:autoSpaceDN/>
              <w:bidi w:val="0"/>
              <w:adjustRightInd/>
              <w:spacing w:line="240" w:lineRule="auto"/>
              <w:ind w:firstLine="420" w:firstLineChars="0"/>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3.2本次比选不接受联合体参选。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踏勘现场</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参选</w:t>
            </w:r>
            <w:r>
              <w:rPr>
                <w:rFonts w:hint="eastAsia" w:ascii="宋体" w:hAnsi="宋体" w:eastAsia="宋体" w:cs="宋体"/>
                <w:color w:val="auto"/>
                <w:kern w:val="0"/>
                <w:szCs w:val="21"/>
                <w:highlight w:val="none"/>
              </w:rPr>
              <w:t>人提出问题的截止时间</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val="zh-CN"/>
              </w:rPr>
              <w:t>参选人在收到公开比选文件后，应仔细检查公开比选文件的所有内容，如有残缺或文字表述不清，以及在错、碰、漏、缺、概念模糊和有可能出现歧义或理解上的偏差的内容等应在</w:t>
            </w:r>
            <w:r>
              <w:rPr>
                <w:rFonts w:hint="eastAsia" w:ascii="宋体" w:hAnsi="宋体" w:eastAsia="宋体" w:cs="宋体"/>
                <w:color w:val="auto"/>
                <w:szCs w:val="21"/>
                <w:highlight w:val="none"/>
                <w:u w:val="single"/>
                <w:lang w:val="zh-CN"/>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lang w:val="zh-CN"/>
              </w:rPr>
              <w:t>年</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12</w:t>
            </w:r>
            <w:r>
              <w:rPr>
                <w:rFonts w:hint="eastAsia" w:ascii="宋体" w:hAnsi="宋体" w:eastAsia="宋体" w:cs="宋体"/>
                <w:color w:val="auto"/>
                <w:szCs w:val="21"/>
                <w:highlight w:val="none"/>
                <w:u w:val="single"/>
                <w:lang w:val="en-US" w:eastAsia="zh-CN"/>
              </w:rPr>
              <w:t>月</w:t>
            </w:r>
            <w:r>
              <w:rPr>
                <w:rFonts w:hint="eastAsia" w:ascii="宋体" w:hAnsi="宋体" w:cs="宋体"/>
                <w:color w:val="auto"/>
                <w:szCs w:val="21"/>
                <w:highlight w:val="none"/>
                <w:u w:val="single"/>
                <w:lang w:val="en-US" w:eastAsia="zh-CN"/>
              </w:rPr>
              <w:t>20</w:t>
            </w:r>
            <w:r>
              <w:rPr>
                <w:rFonts w:hint="eastAsia" w:ascii="宋体" w:hAnsi="宋体" w:eastAsia="宋体" w:cs="宋体"/>
                <w:color w:val="auto"/>
                <w:szCs w:val="21"/>
                <w:highlight w:val="none"/>
                <w:u w:val="single"/>
                <w:lang w:val="zh-CN"/>
              </w:rPr>
              <w:t>日</w:t>
            </w:r>
            <w:r>
              <w:rPr>
                <w:rFonts w:hint="eastAsia" w:ascii="宋体" w:hAnsi="宋体" w:eastAsia="宋体" w:cs="宋体"/>
                <w:color w:val="auto"/>
                <w:szCs w:val="21"/>
                <w:highlight w:val="none"/>
                <w:u w:val="single"/>
              </w:rPr>
              <w:t>12</w:t>
            </w:r>
            <w:r>
              <w:rPr>
                <w:rFonts w:hint="eastAsia" w:ascii="宋体" w:hAnsi="宋体" w:eastAsia="宋体" w:cs="宋体"/>
                <w:color w:val="auto"/>
                <w:szCs w:val="21"/>
                <w:highlight w:val="none"/>
                <w:u w:val="single"/>
                <w:lang w:val="zh-CN"/>
              </w:rPr>
              <w:t>时00分</w:t>
            </w:r>
            <w:r>
              <w:rPr>
                <w:rFonts w:hint="eastAsia" w:ascii="宋体" w:hAnsi="宋体" w:eastAsia="宋体" w:cs="宋体"/>
                <w:color w:val="auto"/>
                <w:szCs w:val="21"/>
                <w:highlight w:val="none"/>
                <w:lang w:val="zh-CN"/>
              </w:rPr>
              <w:t>前</w:t>
            </w:r>
            <w:r>
              <w:rPr>
                <w:rFonts w:hint="eastAsia" w:ascii="宋体" w:hAnsi="宋体" w:eastAsia="宋体" w:cs="宋体"/>
                <w:color w:val="auto"/>
                <w:szCs w:val="21"/>
                <w:highlight w:val="none"/>
              </w:rPr>
              <w:t>以书面的形式提交给</w:t>
            </w:r>
            <w:r>
              <w:rPr>
                <w:rFonts w:hint="eastAsia" w:ascii="宋体" w:hAnsi="宋体" w:cs="宋体"/>
                <w:color w:val="auto"/>
                <w:szCs w:val="21"/>
                <w:highlight w:val="none"/>
                <w:lang w:val="en-US" w:eastAsia="zh-CN"/>
              </w:rPr>
              <w:t>比选人</w:t>
            </w:r>
            <w:r>
              <w:rPr>
                <w:rFonts w:hint="eastAsia" w:ascii="宋体" w:hAnsi="宋体" w:eastAsia="宋体" w:cs="宋体"/>
                <w:color w:val="auto"/>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13</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比选人书面澄清、修改的时间</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如比选人有必要对比选文件内容进行澄清的，将在</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12</w:t>
            </w:r>
            <w:r>
              <w:rPr>
                <w:rFonts w:hint="eastAsia" w:ascii="宋体" w:hAnsi="宋体" w:eastAsia="宋体" w:cs="宋体"/>
                <w:color w:val="auto"/>
                <w:szCs w:val="21"/>
                <w:highlight w:val="none"/>
                <w:u w:val="single"/>
              </w:rPr>
              <w:t>月</w:t>
            </w:r>
            <w:r>
              <w:rPr>
                <w:rFonts w:hint="eastAsia" w:ascii="宋体" w:hAnsi="宋体" w:cs="宋体"/>
                <w:color w:val="auto"/>
                <w:szCs w:val="21"/>
                <w:highlight w:val="none"/>
                <w:u w:val="single"/>
                <w:lang w:val="en-US" w:eastAsia="zh-CN"/>
              </w:rPr>
              <w:t>20</w:t>
            </w:r>
            <w:r>
              <w:rPr>
                <w:rFonts w:hint="eastAsia" w:ascii="宋体" w:hAnsi="宋体" w:eastAsia="宋体" w:cs="宋体"/>
                <w:color w:val="auto"/>
                <w:szCs w:val="21"/>
                <w:highlight w:val="none"/>
                <w:u w:val="single"/>
              </w:rPr>
              <w:t>日</w:t>
            </w:r>
            <w:r>
              <w:rPr>
                <w:rFonts w:hint="eastAsia" w:ascii="宋体" w:hAnsi="宋体" w:eastAsia="宋体" w:cs="宋体"/>
                <w:color w:val="auto"/>
                <w:szCs w:val="21"/>
                <w:highlight w:val="none"/>
                <w:u w:val="single"/>
                <w:lang w:val="en-US" w:eastAsia="zh-CN"/>
              </w:rPr>
              <w:t>24</w:t>
            </w:r>
            <w:r>
              <w:rPr>
                <w:rFonts w:hint="eastAsia" w:ascii="宋体" w:hAnsi="宋体" w:eastAsia="宋体" w:cs="宋体"/>
                <w:color w:val="auto"/>
                <w:szCs w:val="21"/>
                <w:highlight w:val="none"/>
                <w:u w:val="single"/>
              </w:rPr>
              <w:t>：00（北京时间</w:t>
            </w:r>
            <w:r>
              <w:rPr>
                <w:rFonts w:hint="eastAsia" w:ascii="宋体" w:hAnsi="宋体" w:eastAsia="宋体" w:cs="宋体"/>
                <w:color w:val="auto"/>
                <w:szCs w:val="21"/>
                <w:highlight w:val="none"/>
              </w:rPr>
              <w:t>），比选人</w:t>
            </w:r>
            <w:r>
              <w:rPr>
                <w:rFonts w:hint="eastAsia" w:ascii="宋体" w:hAnsi="宋体" w:eastAsia="宋体" w:cs="宋体"/>
                <w:color w:val="auto"/>
                <w:szCs w:val="21"/>
                <w:highlight w:val="none"/>
                <w:lang w:val="en-US" w:eastAsia="zh-CN"/>
              </w:rPr>
              <w:t>在重庆山水城文化旅游发展有限公司官网（http://www.cqsswl.com/）</w:t>
            </w:r>
            <w:r>
              <w:rPr>
                <w:rFonts w:hint="eastAsia" w:ascii="宋体" w:hAnsi="宋体" w:eastAsia="宋体" w:cs="宋体"/>
                <w:color w:val="auto"/>
                <w:szCs w:val="21"/>
                <w:highlight w:val="none"/>
              </w:rPr>
              <w:t>上发布补疑（遗），如补疑（遗）内容影响</w:t>
            </w:r>
            <w:r>
              <w:rPr>
                <w:rFonts w:hint="eastAsia" w:ascii="宋体" w:hAnsi="宋体" w:eastAsia="宋体" w:cs="宋体"/>
                <w:color w:val="auto"/>
                <w:szCs w:val="21"/>
                <w:highlight w:val="none"/>
                <w:lang w:eastAsia="zh-CN"/>
              </w:rPr>
              <w:t>参选</w:t>
            </w:r>
            <w:r>
              <w:rPr>
                <w:rFonts w:hint="eastAsia" w:ascii="宋体" w:hAnsi="宋体" w:eastAsia="宋体" w:cs="宋体"/>
                <w:color w:val="auto"/>
                <w:szCs w:val="21"/>
                <w:highlight w:val="none"/>
              </w:rPr>
              <w:t>文件制作的，将相应延长比选文件递交时间。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14</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分包</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15</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构成比选文件的其他材料</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比选人发出的答疑、澄清或比选文件的修改（若有）等；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16</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Cs w:val="21"/>
                <w:highlight w:val="none"/>
              </w:rPr>
            </w:pPr>
            <w:r>
              <w:rPr>
                <w:rFonts w:hint="eastAsia" w:ascii="宋体" w:hAnsi="宋体" w:eastAsia="宋体" w:cs="宋体"/>
                <w:snapToGrid w:val="0"/>
                <w:color w:val="auto"/>
                <w:kern w:val="0"/>
                <w:szCs w:val="21"/>
                <w:highlight w:val="none"/>
                <w:lang w:eastAsia="zh-CN"/>
              </w:rPr>
              <w:t>参选文件</w:t>
            </w:r>
            <w:r>
              <w:rPr>
                <w:rFonts w:hint="eastAsia" w:ascii="宋体" w:hAnsi="宋体" w:eastAsia="宋体" w:cs="宋体"/>
                <w:snapToGrid w:val="0"/>
                <w:color w:val="auto"/>
                <w:kern w:val="0"/>
                <w:szCs w:val="21"/>
                <w:highlight w:val="none"/>
              </w:rPr>
              <w:t>的组成</w:t>
            </w:r>
          </w:p>
        </w:tc>
        <w:tc>
          <w:tcPr>
            <w:tcW w:w="7134" w:type="dxa"/>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由</w:t>
            </w:r>
            <w:r>
              <w:rPr>
                <w:rFonts w:hint="eastAsia" w:ascii="宋体" w:hAnsi="宋体" w:eastAsia="宋体" w:cs="宋体"/>
                <w:color w:val="auto"/>
                <w:highlight w:val="none"/>
                <w:lang w:eastAsia="zh-CN"/>
              </w:rPr>
              <w:t>参选</w:t>
            </w:r>
            <w:r>
              <w:rPr>
                <w:rFonts w:hint="eastAsia" w:ascii="宋体" w:hAnsi="宋体" w:eastAsia="宋体" w:cs="宋体"/>
                <w:color w:val="auto"/>
                <w:highlight w:val="none"/>
              </w:rPr>
              <w:t>函部分、资格审查部分</w:t>
            </w:r>
            <w:r>
              <w:rPr>
                <w:rFonts w:hint="eastAsia" w:ascii="宋体" w:hAnsi="宋体" w:eastAsia="宋体" w:cs="宋体"/>
                <w:color w:val="auto"/>
                <w:highlight w:val="none"/>
                <w:lang w:val="en-US" w:eastAsia="zh-CN"/>
              </w:rPr>
              <w:t>组成</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17</w:t>
            </w:r>
          </w:p>
        </w:tc>
        <w:tc>
          <w:tcPr>
            <w:tcW w:w="1730" w:type="dxa"/>
            <w:noWrap w:val="0"/>
            <w:vAlign w:val="center"/>
          </w:tcPr>
          <w:p>
            <w:pPr>
              <w:keepNext w:val="0"/>
              <w:keepLines w:val="0"/>
              <w:pageBreakBefore w:val="0"/>
              <w:tabs>
                <w:tab w:val="left" w:pos="546"/>
                <w:tab w:val="left" w:pos="711"/>
              </w:tabs>
              <w:kinsoku/>
              <w:wordWrap/>
              <w:overflowPunct/>
              <w:topLinePunct w:val="0"/>
              <w:autoSpaceDE/>
              <w:autoSpaceDN/>
              <w:bidi w:val="0"/>
              <w:adjustRightInd/>
              <w:snapToGrid w:val="0"/>
              <w:spacing w:line="240" w:lineRule="auto"/>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比选报价</w:t>
            </w:r>
          </w:p>
        </w:tc>
        <w:tc>
          <w:tcPr>
            <w:tcW w:w="7134"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本</w:t>
            </w:r>
            <w:r>
              <w:rPr>
                <w:rFonts w:hint="eastAsia" w:ascii="宋体" w:hAnsi="宋体" w:cs="宋体"/>
                <w:color w:val="auto"/>
                <w:highlight w:val="none"/>
                <w:lang w:val="en-US" w:eastAsia="zh-CN"/>
              </w:rPr>
              <w:t>项目</w:t>
            </w:r>
            <w:r>
              <w:rPr>
                <w:rFonts w:hint="eastAsia" w:ascii="宋体" w:hAnsi="宋体" w:eastAsia="宋体" w:cs="宋体"/>
                <w:color w:val="auto"/>
                <w:highlight w:val="none"/>
                <w:lang w:val="en-US" w:eastAsia="zh-CN"/>
              </w:rPr>
              <w:t>采用</w:t>
            </w:r>
            <w:r>
              <w:rPr>
                <w:rFonts w:hint="eastAsia" w:ascii="宋体" w:hAnsi="宋体" w:cs="宋体"/>
                <w:color w:val="auto"/>
                <w:highlight w:val="none"/>
                <w:lang w:val="en-US" w:eastAsia="zh-CN"/>
              </w:rPr>
              <w:t>综合单价包干</w:t>
            </w:r>
            <w:r>
              <w:rPr>
                <w:rFonts w:hint="eastAsia" w:ascii="宋体" w:hAnsi="宋体" w:eastAsia="宋体" w:cs="宋体"/>
                <w:color w:val="auto"/>
                <w:highlight w:val="none"/>
                <w:lang w:val="en-US" w:eastAsia="zh-CN"/>
              </w:rPr>
              <w:t>合同</w:t>
            </w:r>
            <w:r>
              <w:rPr>
                <w:rFonts w:hint="eastAsia" w:ascii="宋体" w:hAnsi="宋体" w:cs="宋体"/>
                <w:color w:val="auto"/>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1、计价方式：</w:t>
            </w:r>
            <w:r>
              <w:rPr>
                <w:rFonts w:hint="eastAsia" w:ascii="宋体" w:hAnsi="宋体" w:cs="宋体"/>
                <w:color w:val="auto"/>
                <w:highlight w:val="none"/>
                <w:lang w:val="en-US" w:eastAsia="zh-CN"/>
              </w:rPr>
              <w:t>总策划编制按照中选综合单价包干据实结算，光影作品内容邀约补偿按照固定综合单价包干据实结算</w:t>
            </w:r>
            <w:r>
              <w:rPr>
                <w:rFonts w:hint="eastAsia" w:ascii="宋体" w:hAnsi="宋体" w:eastAsia="宋体" w:cs="宋体"/>
                <w:color w:val="auto"/>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2、参选报价范围：各参选人对比选人提供的</w:t>
            </w:r>
            <w:r>
              <w:rPr>
                <w:rFonts w:hint="eastAsia" w:ascii="宋体" w:hAnsi="宋体" w:cs="宋体"/>
                <w:color w:val="auto"/>
                <w:highlight w:val="none"/>
                <w:lang w:val="en-US" w:eastAsia="zh-CN"/>
              </w:rPr>
              <w:t>总策划编制要求</w:t>
            </w:r>
            <w:r>
              <w:rPr>
                <w:rFonts w:hint="eastAsia" w:ascii="宋体" w:hAnsi="宋体" w:eastAsia="宋体" w:cs="宋体"/>
                <w:color w:val="auto"/>
                <w:highlight w:val="none"/>
                <w:lang w:val="en-US" w:eastAsia="zh-CN"/>
              </w:rPr>
              <w:t>，结合</w:t>
            </w:r>
            <w:r>
              <w:rPr>
                <w:rFonts w:hint="eastAsia" w:ascii="宋体" w:hAnsi="宋体" w:cs="宋体"/>
                <w:color w:val="auto"/>
                <w:highlight w:val="none"/>
                <w:lang w:val="en-US" w:eastAsia="zh-CN"/>
              </w:rPr>
              <w:t>参选人自身情况，</w:t>
            </w:r>
            <w:r>
              <w:rPr>
                <w:rFonts w:hint="eastAsia" w:ascii="宋体" w:hAnsi="宋体" w:eastAsia="宋体" w:cs="宋体"/>
                <w:color w:val="auto"/>
                <w:highlight w:val="none"/>
                <w:lang w:val="en-US" w:eastAsia="zh-CN"/>
              </w:rPr>
              <w:t>进行</w:t>
            </w:r>
            <w:r>
              <w:rPr>
                <w:rFonts w:hint="eastAsia" w:ascii="宋体" w:hAnsi="宋体" w:cs="宋体"/>
                <w:color w:val="auto"/>
                <w:highlight w:val="none"/>
                <w:lang w:val="en-US" w:eastAsia="zh-CN"/>
              </w:rPr>
              <w:t>总策划编制费用的报价</w:t>
            </w:r>
            <w:r>
              <w:rPr>
                <w:rFonts w:hint="eastAsia" w:ascii="宋体" w:hAnsi="宋体" w:eastAsia="宋体" w:cs="宋体"/>
                <w:color w:val="auto"/>
                <w:highlight w:val="none"/>
                <w:lang w:val="en-US" w:eastAsia="zh-CN"/>
              </w:rPr>
              <w:t xml:space="preserve">。 </w:t>
            </w:r>
          </w:p>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3、报价原则：</w:t>
            </w:r>
            <w:r>
              <w:rPr>
                <w:rFonts w:hint="eastAsia" w:ascii="宋体" w:hAnsi="宋体" w:cs="宋体"/>
                <w:color w:val="auto"/>
                <w:highlight w:val="none"/>
                <w:lang w:val="en-US" w:eastAsia="zh-CN"/>
              </w:rPr>
              <w:t>总策划编制费用最高限价为30万元，</w:t>
            </w:r>
            <w:r>
              <w:rPr>
                <w:rFonts w:hint="eastAsia"/>
                <w:color w:val="000000"/>
                <w:szCs w:val="21"/>
              </w:rPr>
              <w:t>费用包含</w:t>
            </w:r>
            <w:r>
              <w:rPr>
                <w:rFonts w:hint="eastAsia"/>
                <w:color w:val="000000"/>
                <w:szCs w:val="21"/>
                <w:lang w:val="en-US" w:eastAsia="zh-CN"/>
              </w:rPr>
              <w:t>完成总策划编制内容所需的所有费用，包括但不限于总策划方案文本编制、编制、会议汇报及评审、方案文本修改的费用，嘉宾邀请的沟通、对接、协调、邀约的费用，物料设计及制作的人工、材料、设计、制作等费用，税费等所有费用。报价</w:t>
            </w:r>
            <w:r>
              <w:rPr>
                <w:rFonts w:hint="eastAsia" w:ascii="宋体" w:hAnsi="宋体" w:cs="宋体"/>
                <w:color w:val="auto"/>
                <w:highlight w:val="none"/>
                <w:lang w:val="en-US" w:eastAsia="zh-CN"/>
              </w:rPr>
              <w:t>不得超过设定的最高限价（各单项及总价均不得超过最高限价），</w:t>
            </w:r>
            <w:r>
              <w:rPr>
                <w:rFonts w:hint="eastAsia" w:ascii="宋体" w:hAnsi="宋体" w:eastAsia="宋体" w:cs="宋体"/>
                <w:color w:val="auto"/>
                <w:highlight w:val="none"/>
                <w:lang w:val="en-US" w:eastAsia="zh-CN"/>
              </w:rPr>
              <w:t>否则</w:t>
            </w:r>
            <w:r>
              <w:rPr>
                <w:rFonts w:hint="eastAsia" w:ascii="宋体" w:hAnsi="宋体" w:cs="宋体"/>
                <w:color w:val="auto"/>
                <w:highlight w:val="none"/>
                <w:lang w:val="en-US" w:eastAsia="zh-CN"/>
              </w:rPr>
              <w:t>公开比选</w:t>
            </w:r>
            <w:r>
              <w:rPr>
                <w:rFonts w:hint="eastAsia" w:ascii="宋体" w:hAnsi="宋体" w:eastAsia="宋体" w:cs="宋体"/>
                <w:color w:val="auto"/>
                <w:highlight w:val="none"/>
                <w:lang w:val="en-US" w:eastAsia="zh-CN"/>
              </w:rPr>
              <w:t>委员会将</w:t>
            </w:r>
            <w:r>
              <w:rPr>
                <w:rFonts w:hint="eastAsia" w:ascii="宋体" w:hAnsi="宋体" w:cs="宋体"/>
                <w:color w:val="auto"/>
                <w:highlight w:val="none"/>
                <w:lang w:val="en-US" w:eastAsia="zh-CN"/>
              </w:rPr>
              <w:t>否决其报价，取消其中选资格</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报价按照第六章报价函格式进行填报。</w:t>
            </w:r>
          </w:p>
          <w:p>
            <w:pPr>
              <w:pStyle w:val="2"/>
              <w:rPr>
                <w:rFonts w:hint="default"/>
                <w:lang w:val="en-US" w:eastAsia="zh-CN"/>
              </w:rPr>
            </w:pPr>
            <w:r>
              <w:rPr>
                <w:rFonts w:hint="eastAsia"/>
                <w:lang w:val="en-US" w:eastAsia="zh-CN"/>
              </w:rPr>
              <w:t>各单项最高限价如下：</w:t>
            </w:r>
          </w:p>
          <w:tbl>
            <w:tblPr>
              <w:tblStyle w:val="54"/>
              <w:tblW w:w="67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58"/>
              <w:gridCol w:w="475"/>
              <w:gridCol w:w="463"/>
              <w:gridCol w:w="937"/>
              <w:gridCol w:w="1525"/>
              <w:gridCol w:w="1113"/>
              <w:gridCol w:w="362"/>
              <w:gridCol w:w="413"/>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263" w:type="pct"/>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序号</w:t>
                  </w:r>
                </w:p>
              </w:tc>
              <w:tc>
                <w:tcPr>
                  <w:tcW w:w="349" w:type="pct"/>
                  <w:tcBorders>
                    <w:top w:val="nil"/>
                    <w:left w:val="single" w:color="000000" w:sz="4" w:space="0"/>
                    <w:bottom w:val="single" w:color="000000" w:sz="4" w:space="0"/>
                    <w:right w:val="single" w:color="000000" w:sz="4" w:space="0"/>
                  </w:tcBorders>
                  <w:shd w:val="clear" w:color="auto" w:fill="A6A6A6"/>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策划内容</w:t>
                  </w:r>
                </w:p>
              </w:tc>
              <w:tc>
                <w:tcPr>
                  <w:tcW w:w="1030" w:type="pct"/>
                  <w:gridSpan w:val="2"/>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具体内容</w:t>
                  </w:r>
                </w:p>
              </w:tc>
              <w:tc>
                <w:tcPr>
                  <w:tcW w:w="1121" w:type="pct"/>
                  <w:tcBorders>
                    <w:top w:val="nil"/>
                    <w:left w:val="single" w:color="000000" w:sz="4" w:space="0"/>
                    <w:bottom w:val="single" w:color="000000" w:sz="4" w:space="0"/>
                    <w:right w:val="single" w:color="000000" w:sz="4" w:space="0"/>
                  </w:tcBorders>
                  <w:shd w:val="clear" w:color="auto" w:fill="A6A6A6"/>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要求</w:t>
                  </w:r>
                </w:p>
              </w:tc>
              <w:tc>
                <w:tcPr>
                  <w:tcW w:w="818" w:type="pct"/>
                  <w:tcBorders>
                    <w:top w:val="nil"/>
                    <w:left w:val="single" w:color="000000" w:sz="4" w:space="0"/>
                    <w:bottom w:val="single" w:color="000000" w:sz="4" w:space="0"/>
                    <w:right w:val="nil"/>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kern w:val="0"/>
                      <w:sz w:val="18"/>
                      <w:szCs w:val="18"/>
                      <w:u w:val="none"/>
                      <w:lang w:val="en-US" w:eastAsia="zh-CN" w:bidi="ar"/>
                    </w:rPr>
                  </w:pPr>
                  <w:r>
                    <w:rPr>
                      <w:rFonts w:hint="eastAsia" w:ascii="方正仿宋_GBK" w:hAnsi="方正仿宋_GBK" w:eastAsia="方正仿宋_GBK" w:cs="方正仿宋_GBK"/>
                      <w:b/>
                      <w:bCs/>
                      <w:i w:val="0"/>
                      <w:iCs w:val="0"/>
                      <w:color w:val="000000"/>
                      <w:kern w:val="0"/>
                      <w:sz w:val="18"/>
                      <w:szCs w:val="18"/>
                      <w:u w:val="none"/>
                      <w:lang w:val="en-US" w:eastAsia="zh-CN" w:bidi="ar"/>
                    </w:rPr>
                    <w:t>单项最高限价</w:t>
                  </w:r>
                </w:p>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（元）</w:t>
                  </w:r>
                </w:p>
              </w:tc>
              <w:tc>
                <w:tcPr>
                  <w:tcW w:w="266" w:type="pct"/>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单位</w:t>
                  </w:r>
                </w:p>
              </w:tc>
              <w:tc>
                <w:tcPr>
                  <w:tcW w:w="303" w:type="pct"/>
                  <w:tcBorders>
                    <w:top w:val="nil"/>
                    <w:left w:val="nil"/>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数量</w:t>
                  </w:r>
                </w:p>
              </w:tc>
              <w:tc>
                <w:tcPr>
                  <w:tcW w:w="846" w:type="pct"/>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kern w:val="0"/>
                      <w:sz w:val="18"/>
                      <w:szCs w:val="18"/>
                      <w:u w:val="none"/>
                      <w:lang w:val="en-US" w:eastAsia="zh-CN" w:bidi="ar"/>
                    </w:rPr>
                  </w:pPr>
                  <w:r>
                    <w:rPr>
                      <w:rFonts w:hint="eastAsia" w:ascii="方正仿宋_GBK" w:hAnsi="方正仿宋_GBK" w:eastAsia="方正仿宋_GBK" w:cs="方正仿宋_GBK"/>
                      <w:b/>
                      <w:bCs/>
                      <w:i w:val="0"/>
                      <w:iCs w:val="0"/>
                      <w:color w:val="000000"/>
                      <w:kern w:val="0"/>
                      <w:sz w:val="18"/>
                      <w:szCs w:val="18"/>
                      <w:u w:val="none"/>
                      <w:lang w:val="en-US" w:eastAsia="zh-CN" w:bidi="ar"/>
                    </w:rPr>
                    <w:t>单项总价最高限价</w:t>
                  </w:r>
                </w:p>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活动策划</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1.1</w:t>
                  </w:r>
                </w:p>
              </w:tc>
              <w:tc>
                <w:tcPr>
                  <w:tcW w:w="689"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重庆国际光影文化旅游节顶层规划</w:t>
                  </w:r>
                </w:p>
              </w:tc>
              <w:tc>
                <w:tcPr>
                  <w:tcW w:w="112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根据旅游节整体定位及未来目标，制定本届旅游节顶层规划</w:t>
                  </w:r>
                </w:p>
              </w:tc>
              <w:tc>
                <w:tcPr>
                  <w:tcW w:w="818" w:type="pct"/>
                  <w:tcBorders>
                    <w:top w:val="nil"/>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¥100000.00</w:t>
                  </w: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03" w:type="pct"/>
                  <w:tcBorders>
                    <w:top w:val="nil"/>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8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¥100000.00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1.2</w:t>
                  </w:r>
                </w:p>
              </w:tc>
              <w:tc>
                <w:tcPr>
                  <w:tcW w:w="689"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重庆国际光影文化旅游节展览策划</w:t>
                  </w:r>
                </w:p>
              </w:tc>
              <w:tc>
                <w:tcPr>
                  <w:tcW w:w="112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包含展览策划、作品点位策划、赛事策划、宣发策划等</w:t>
                  </w:r>
                </w:p>
              </w:tc>
              <w:tc>
                <w:tcPr>
                  <w:tcW w:w="818" w:type="pct"/>
                  <w:tcBorders>
                    <w:top w:val="nil"/>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¥50000.00</w:t>
                  </w: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03" w:type="pct"/>
                  <w:tcBorders>
                    <w:top w:val="nil"/>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8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¥50000.00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1.3</w:t>
                  </w:r>
                </w:p>
              </w:tc>
              <w:tc>
                <w:tcPr>
                  <w:tcW w:w="689"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 xml:space="preserve"> 重庆国际光影文化旅游节系列活动策划</w:t>
                  </w:r>
                </w:p>
              </w:tc>
              <w:tc>
                <w:tcPr>
                  <w:tcW w:w="112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包含评审会议、颁奖典礼、开幕式、启幕活动、研讨会等系列活动策划</w:t>
                  </w:r>
                </w:p>
              </w:tc>
              <w:tc>
                <w:tcPr>
                  <w:tcW w:w="818" w:type="pct"/>
                  <w:tcBorders>
                    <w:top w:val="nil"/>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¥50000.00</w:t>
                  </w: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8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¥50000.00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嘉宾邀请</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嘉宾邀约</w:t>
                  </w:r>
                </w:p>
              </w:tc>
              <w:tc>
                <w:tcPr>
                  <w:tcW w:w="11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联系并邀请国际灯光节主办方、行业专家、艺术院校代表参与2026年重庆之夜·国际光影文化旅游节</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¥15000.00</w:t>
                  </w: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8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¥15000.00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沟通对接</w:t>
                  </w:r>
                </w:p>
              </w:tc>
              <w:tc>
                <w:tcPr>
                  <w:tcW w:w="11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确定相关出席人员行程安排、内容及流程对接协调</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¥10000.00</w:t>
                  </w: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8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¥10000.00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物料设计及制作</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主视觉设计</w:t>
                  </w:r>
                </w:p>
              </w:tc>
              <w:tc>
                <w:tcPr>
                  <w:tcW w:w="11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2026光影文化旅游节主视觉设计</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¥30000.00</w:t>
                  </w: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8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¥30000.00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衍生物料设计</w:t>
                  </w:r>
                </w:p>
              </w:tc>
              <w:tc>
                <w:tcPr>
                  <w:tcW w:w="11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海报、展册、邀请函等相关物料设计</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¥20000.00</w:t>
                  </w: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8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¥20000.00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奖杯及证书设计制作</w:t>
                  </w:r>
                </w:p>
              </w:tc>
              <w:tc>
                <w:tcPr>
                  <w:tcW w:w="11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所有参赛参展艺术家证书，及获奖者奖杯设计与制作</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¥10000.00</w:t>
                  </w: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8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¥10000.00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3.4</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礼品设计制作</w:t>
                  </w:r>
                </w:p>
              </w:tc>
              <w:tc>
                <w:tcPr>
                  <w:tcW w:w="11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包含水杯、雨伞、明信片、帆布包、衣服、3D打印小模型等各类纪念品</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¥100.00</w:t>
                  </w: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份</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150</w:t>
                  </w:r>
                </w:p>
              </w:tc>
              <w:tc>
                <w:tcPr>
                  <w:tcW w:w="8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¥15000.00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153"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righ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总额</w:t>
                  </w:r>
                </w:p>
              </w:tc>
              <w:tc>
                <w:tcPr>
                  <w:tcW w:w="8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¥300000.00</w:t>
                  </w:r>
                </w:p>
              </w:tc>
            </w:tr>
          </w:tbl>
          <w:p>
            <w:pPr>
              <w:keepNext w:val="0"/>
              <w:keepLines w:val="0"/>
              <w:pageBreakBefore w:val="0"/>
              <w:widowControl/>
              <w:kinsoku/>
              <w:wordWrap/>
              <w:overflowPunct/>
              <w:topLinePunct w:val="0"/>
              <w:autoSpaceDE/>
              <w:autoSpaceDN/>
              <w:bidi w:val="0"/>
              <w:adjustRightInd/>
              <w:spacing w:line="240" w:lineRule="auto"/>
              <w:jc w:val="left"/>
              <w:textAlignment w:val="auto"/>
              <w:rPr>
                <w:rFonts w:hint="default" w:ascii="宋体" w:hAnsi="宋体" w:eastAsia="宋体" w:cs="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18</w:t>
            </w:r>
          </w:p>
        </w:tc>
        <w:tc>
          <w:tcPr>
            <w:tcW w:w="1730" w:type="dxa"/>
            <w:noWrap w:val="0"/>
            <w:vAlign w:val="center"/>
          </w:tcPr>
          <w:p>
            <w:pPr>
              <w:keepNext w:val="0"/>
              <w:keepLines w:val="0"/>
              <w:pageBreakBefore w:val="0"/>
              <w:tabs>
                <w:tab w:val="left" w:pos="546"/>
                <w:tab w:val="left" w:pos="711"/>
              </w:tabs>
              <w:kinsoku/>
              <w:wordWrap/>
              <w:overflowPunct/>
              <w:topLinePunct w:val="0"/>
              <w:autoSpaceDE/>
              <w:autoSpaceDN/>
              <w:bidi w:val="0"/>
              <w:adjustRightInd/>
              <w:snapToGrid w:val="0"/>
              <w:spacing w:line="240" w:lineRule="auto"/>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结算原则</w:t>
            </w:r>
          </w:p>
        </w:tc>
        <w:tc>
          <w:tcPr>
            <w:tcW w:w="7134" w:type="dxa"/>
            <w:noWrap w:val="0"/>
            <w:vAlign w:val="center"/>
          </w:tcPr>
          <w:p>
            <w:pPr>
              <w:keepNext w:val="0"/>
              <w:keepLines w:val="0"/>
              <w:pageBreakBefore w:val="0"/>
              <w:widowControl/>
              <w:numPr>
                <w:ilvl w:val="0"/>
                <w:numId w:val="0"/>
              </w:numPr>
              <w:kinsoku/>
              <w:wordWrap/>
              <w:overflowPunct/>
              <w:topLinePunct w:val="0"/>
              <w:autoSpaceDE/>
              <w:autoSpaceDN/>
              <w:bidi w:val="0"/>
              <w:adjustRightInd/>
              <w:spacing w:line="240" w:lineRule="auto"/>
              <w:jc w:val="left"/>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总策划编制按照中选综合单价包干据实结算，光影作品内容邀约补偿按照固定综合单价包干据实结算</w:t>
            </w:r>
            <w:r>
              <w:rPr>
                <w:rFonts w:hint="eastAsia" w:ascii="宋体" w:hAnsi="宋体" w:eastAsia="宋体" w:cs="宋体"/>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19</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val="en-US" w:eastAsia="zh-CN"/>
              </w:rPr>
              <w:t>参</w:t>
            </w:r>
            <w:r>
              <w:rPr>
                <w:rFonts w:hint="eastAsia" w:ascii="宋体" w:hAnsi="宋体" w:eastAsia="宋体" w:cs="宋体"/>
                <w:color w:val="auto"/>
                <w:kern w:val="0"/>
                <w:szCs w:val="21"/>
                <w:highlight w:val="none"/>
              </w:rPr>
              <w:t>选有效期</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90</w:t>
            </w:r>
            <w:r>
              <w:rPr>
                <w:rFonts w:hint="eastAsia" w:ascii="宋体" w:hAnsi="宋体" w:eastAsia="宋体" w:cs="宋体"/>
                <w:color w:val="auto"/>
                <w:szCs w:val="21"/>
                <w:highlight w:val="none"/>
              </w:rPr>
              <w:t>日历天（从提交</w:t>
            </w:r>
            <w:r>
              <w:rPr>
                <w:rFonts w:hint="eastAsia" w:ascii="宋体" w:hAnsi="宋体" w:eastAsia="宋体" w:cs="宋体"/>
                <w:color w:val="auto"/>
                <w:szCs w:val="21"/>
                <w:highlight w:val="none"/>
                <w:lang w:eastAsia="zh-CN"/>
              </w:rPr>
              <w:t>参选文件</w:t>
            </w:r>
            <w:r>
              <w:rPr>
                <w:rFonts w:hint="eastAsia" w:ascii="宋体" w:hAnsi="宋体" w:eastAsia="宋体" w:cs="宋体"/>
                <w:color w:val="auto"/>
                <w:szCs w:val="21"/>
                <w:highlight w:val="none"/>
              </w:rPr>
              <w:t>截止日起计算）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20</w:t>
            </w:r>
          </w:p>
        </w:tc>
        <w:tc>
          <w:tcPr>
            <w:tcW w:w="1730" w:type="dxa"/>
            <w:noWrap w:val="0"/>
            <w:vAlign w:val="center"/>
          </w:tcPr>
          <w:p>
            <w:pPr>
              <w:keepNext w:val="0"/>
              <w:keepLines w:val="0"/>
              <w:pageBreakBefore w:val="0"/>
              <w:tabs>
                <w:tab w:val="left" w:pos="546"/>
                <w:tab w:val="left" w:pos="711"/>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highlight w:val="green"/>
              </w:rPr>
            </w:pPr>
            <w:r>
              <w:rPr>
                <w:rFonts w:hint="eastAsia" w:ascii="宋体" w:hAnsi="宋体" w:cs="宋体"/>
                <w:color w:val="auto"/>
                <w:highlight w:val="none"/>
                <w:lang w:val="en-US" w:eastAsia="zh-CN"/>
              </w:rPr>
              <w:t>参</w:t>
            </w:r>
            <w:r>
              <w:rPr>
                <w:rFonts w:hint="eastAsia" w:ascii="宋体" w:hAnsi="宋体" w:eastAsia="宋体" w:cs="宋体"/>
                <w:color w:val="auto"/>
                <w:highlight w:val="none"/>
              </w:rPr>
              <w:t>选保证金</w:t>
            </w:r>
          </w:p>
        </w:tc>
        <w:tc>
          <w:tcPr>
            <w:tcW w:w="7134" w:type="dxa"/>
            <w:noWrap w:val="0"/>
            <w:vAlign w:val="center"/>
          </w:tcPr>
          <w:p>
            <w:pPr>
              <w:keepNext w:val="0"/>
              <w:keepLines w:val="0"/>
              <w:pageBreakBefore w:val="0"/>
              <w:widowControl/>
              <w:kinsoku/>
              <w:wordWrap/>
              <w:overflowPunct/>
              <w:topLinePunct w:val="0"/>
              <w:autoSpaceDE/>
              <w:autoSpaceDN/>
              <w:bidi w:val="0"/>
              <w:adjustRightInd/>
              <w:spacing w:line="240" w:lineRule="auto"/>
              <w:ind w:firstLine="420" w:firstLineChars="200"/>
              <w:jc w:val="left"/>
              <w:textAlignment w:val="auto"/>
              <w:rPr>
                <w:rFonts w:hint="default" w:ascii="宋体" w:hAnsi="宋体" w:eastAsia="宋体" w:cs="宋体"/>
                <w:color w:val="auto"/>
                <w:highlight w:val="green"/>
                <w:lang w:val="en-US" w:eastAsia="zh-CN"/>
              </w:rPr>
            </w:pPr>
            <w:r>
              <w:rPr>
                <w:rFonts w:hint="eastAsia" w:ascii="宋体" w:hAnsi="宋体" w:cs="宋体"/>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21</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签字盖章要求</w:t>
            </w:r>
          </w:p>
        </w:tc>
        <w:tc>
          <w:tcPr>
            <w:tcW w:w="713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参选</w:t>
            </w:r>
            <w:r>
              <w:rPr>
                <w:rFonts w:hint="eastAsia" w:ascii="宋体" w:hAnsi="宋体" w:eastAsia="宋体" w:cs="宋体"/>
                <w:color w:val="auto"/>
                <w:szCs w:val="21"/>
                <w:highlight w:val="none"/>
              </w:rPr>
              <w:t>文件应用不褪色的材料书写或打印，并由</w:t>
            </w:r>
            <w:r>
              <w:rPr>
                <w:rFonts w:hint="eastAsia" w:ascii="宋体" w:hAnsi="宋体" w:eastAsia="宋体" w:cs="宋体"/>
                <w:color w:val="auto"/>
                <w:szCs w:val="21"/>
                <w:highlight w:val="none"/>
                <w:lang w:eastAsia="zh-CN"/>
              </w:rPr>
              <w:t>参选</w:t>
            </w:r>
            <w:r>
              <w:rPr>
                <w:rFonts w:hint="eastAsia" w:ascii="宋体" w:hAnsi="宋体" w:eastAsia="宋体" w:cs="宋体"/>
                <w:color w:val="auto"/>
                <w:szCs w:val="21"/>
                <w:highlight w:val="none"/>
              </w:rPr>
              <w:t>人的法定代表人或其委托代理人在比选文件规定的位置按比选文件要求签字或盖章、盖单位法人章。委托代理人签字的，</w:t>
            </w:r>
            <w:r>
              <w:rPr>
                <w:rFonts w:hint="eastAsia" w:ascii="宋体" w:hAnsi="宋体" w:eastAsia="宋体" w:cs="宋体"/>
                <w:color w:val="auto"/>
                <w:szCs w:val="21"/>
                <w:highlight w:val="none"/>
                <w:lang w:eastAsia="zh-CN"/>
              </w:rPr>
              <w:t>参选</w:t>
            </w:r>
            <w:r>
              <w:rPr>
                <w:rFonts w:hint="eastAsia" w:ascii="宋体" w:hAnsi="宋体" w:eastAsia="宋体" w:cs="宋体"/>
                <w:color w:val="auto"/>
                <w:szCs w:val="21"/>
                <w:highlight w:val="none"/>
              </w:rPr>
              <w:t>文件应附法定代表人签署的授权委托书。</w:t>
            </w:r>
            <w:r>
              <w:rPr>
                <w:rFonts w:hint="eastAsia" w:ascii="宋体" w:hAnsi="宋体" w:eastAsia="宋体" w:cs="宋体"/>
                <w:color w:val="auto"/>
                <w:szCs w:val="21"/>
                <w:highlight w:val="none"/>
                <w:lang w:eastAsia="zh-CN"/>
              </w:rPr>
              <w:t>参选</w:t>
            </w:r>
            <w:r>
              <w:rPr>
                <w:rFonts w:hint="eastAsia" w:ascii="宋体" w:hAnsi="宋体" w:eastAsia="宋体" w:cs="宋体"/>
                <w:color w:val="auto"/>
                <w:szCs w:val="21"/>
                <w:highlight w:val="none"/>
              </w:rPr>
              <w:t>文件应尽量避免涂改、行间插字或删除。如果出现上述情况，改动之处应加盖单位法人章或由</w:t>
            </w:r>
            <w:r>
              <w:rPr>
                <w:rFonts w:hint="eastAsia" w:ascii="宋体" w:hAnsi="宋体" w:eastAsia="宋体" w:cs="宋体"/>
                <w:color w:val="auto"/>
                <w:szCs w:val="21"/>
                <w:highlight w:val="none"/>
                <w:lang w:eastAsia="zh-CN"/>
              </w:rPr>
              <w:t>参选</w:t>
            </w:r>
            <w:r>
              <w:rPr>
                <w:rFonts w:hint="eastAsia" w:ascii="宋体" w:hAnsi="宋体" w:eastAsia="宋体" w:cs="宋体"/>
                <w:color w:val="auto"/>
                <w:szCs w:val="21"/>
                <w:highlight w:val="none"/>
              </w:rPr>
              <w:t>人的法定代表人或其授权的代理人签字确认。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22</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参选文件</w:t>
            </w:r>
            <w:r>
              <w:rPr>
                <w:rFonts w:hint="eastAsia" w:ascii="宋体" w:hAnsi="宋体" w:eastAsia="宋体" w:cs="宋体"/>
                <w:color w:val="auto"/>
                <w:kern w:val="0"/>
                <w:szCs w:val="21"/>
                <w:highlight w:val="none"/>
              </w:rPr>
              <w:t>的份数</w:t>
            </w:r>
          </w:p>
        </w:tc>
        <w:tc>
          <w:tcPr>
            <w:tcW w:w="713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参选</w:t>
            </w:r>
            <w:r>
              <w:rPr>
                <w:rFonts w:hint="eastAsia" w:ascii="宋体" w:hAnsi="宋体" w:eastAsia="宋体" w:cs="宋体"/>
                <w:color w:val="auto"/>
                <w:szCs w:val="21"/>
                <w:highlight w:val="none"/>
              </w:rPr>
              <w:t>函部分：一份；</w:t>
            </w:r>
          </w:p>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2、资格审查资料：一份；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23</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装订要求</w:t>
            </w:r>
          </w:p>
        </w:tc>
        <w:tc>
          <w:tcPr>
            <w:tcW w:w="7134" w:type="dxa"/>
            <w:noWrap w:val="0"/>
            <w:vAlign w:val="center"/>
          </w:tcPr>
          <w:p>
            <w:pPr>
              <w:pStyle w:val="21"/>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w:t>
            </w:r>
            <w:r>
              <w:rPr>
                <w:rFonts w:hint="eastAsia" w:ascii="宋体" w:hAnsi="宋体" w:cs="宋体"/>
                <w:color w:val="auto"/>
                <w:sz w:val="21"/>
                <w:szCs w:val="21"/>
                <w:highlight w:val="none"/>
                <w:lang w:val="en-US" w:eastAsia="zh-CN"/>
              </w:rPr>
              <w:t>采购项目</w:t>
            </w:r>
            <w:r>
              <w:rPr>
                <w:rFonts w:hint="eastAsia" w:ascii="宋体" w:hAnsi="宋体" w:eastAsia="宋体" w:cs="宋体"/>
                <w:color w:val="auto"/>
                <w:sz w:val="21"/>
                <w:szCs w:val="21"/>
                <w:highlight w:val="none"/>
              </w:rPr>
              <w:t>应将</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函部分、资格审查</w:t>
            </w:r>
            <w:r>
              <w:rPr>
                <w:rFonts w:hint="eastAsia" w:ascii="宋体" w:hAnsi="宋体" w:eastAsia="宋体" w:cs="宋体"/>
                <w:color w:val="auto"/>
                <w:sz w:val="21"/>
                <w:szCs w:val="21"/>
                <w:highlight w:val="none"/>
                <w:lang w:val="en-US" w:eastAsia="zh-CN"/>
              </w:rPr>
              <w:t>部分</w:t>
            </w:r>
            <w:r>
              <w:rPr>
                <w:rFonts w:hint="eastAsia" w:ascii="宋体" w:hAnsi="宋体" w:eastAsia="宋体" w:cs="宋体"/>
                <w:color w:val="auto"/>
                <w:sz w:val="21"/>
                <w:szCs w:val="21"/>
                <w:highlight w:val="none"/>
              </w:rPr>
              <w:t>分别装订成册。</w:t>
            </w:r>
          </w:p>
          <w:p>
            <w:pPr>
              <w:pStyle w:val="21"/>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、装订要求</w:t>
            </w:r>
          </w:p>
          <w:p>
            <w:pPr>
              <w:pStyle w:val="21"/>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函部分的装订要求</w:t>
            </w:r>
          </w:p>
          <w:p>
            <w:pPr>
              <w:pStyle w:val="21"/>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应按照比选文件的规定格式装订成册，并应编制目录和页码</w:t>
            </w:r>
          </w:p>
          <w:p>
            <w:pPr>
              <w:pStyle w:val="21"/>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（2）资格审查资料的装订要求</w:t>
            </w:r>
          </w:p>
          <w:p>
            <w:pPr>
              <w:pStyle w:val="21"/>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sz w:val="21"/>
                <w:szCs w:val="21"/>
                <w:highlight w:val="none"/>
              </w:rPr>
              <w:t>应按照比选文件的规定格式装订成册，并应编制目录和页码。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24</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参选</w:t>
            </w:r>
            <w:r>
              <w:rPr>
                <w:rFonts w:hint="eastAsia" w:ascii="宋体" w:hAnsi="宋体" w:eastAsia="宋体" w:cs="宋体"/>
                <w:color w:val="auto"/>
                <w:kern w:val="0"/>
                <w:szCs w:val="21"/>
                <w:highlight w:val="none"/>
              </w:rPr>
              <w:t>文件的密封</w:t>
            </w:r>
          </w:p>
        </w:tc>
        <w:tc>
          <w:tcPr>
            <w:tcW w:w="7134" w:type="dxa"/>
            <w:noWrap w:val="0"/>
            <w:vAlign w:val="center"/>
          </w:tcPr>
          <w:p>
            <w:pPr>
              <w:pStyle w:val="21"/>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文件袋使用“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函部分”袋、 “资格审查部分”袋</w:t>
            </w:r>
            <w:r>
              <w:rPr>
                <w:rFonts w:hint="eastAsia" w:ascii="宋体" w:hAnsi="宋体" w:eastAsia="宋体" w:cs="宋体"/>
                <w:color w:val="auto"/>
                <w:sz w:val="21"/>
                <w:szCs w:val="21"/>
                <w:highlight w:val="none"/>
                <w:lang w:val="en-US" w:eastAsia="zh-CN"/>
              </w:rPr>
              <w:t>以及“参选文件”大袋</w:t>
            </w:r>
          </w:p>
          <w:p>
            <w:pPr>
              <w:pStyle w:val="21"/>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函部分、电子文件装入“</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函部分”袋中，密封并在袋上加盖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单位公章。</w:t>
            </w:r>
          </w:p>
          <w:p>
            <w:pPr>
              <w:pStyle w:val="21"/>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、资格审查部分装入“资格审查部分”袋中，密封并在袋上加盖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单位公章。</w:t>
            </w:r>
          </w:p>
          <w:p>
            <w:pPr>
              <w:pStyle w:val="21"/>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、“参选函部分”、“</w:t>
            </w:r>
            <w:r>
              <w:rPr>
                <w:rFonts w:hint="eastAsia" w:ascii="宋体" w:hAnsi="宋体" w:cs="宋体"/>
                <w:color w:val="auto"/>
                <w:sz w:val="21"/>
                <w:szCs w:val="21"/>
                <w:highlight w:val="none"/>
                <w:lang w:val="en-US" w:eastAsia="zh-CN"/>
              </w:rPr>
              <w:t>资格审查部分</w:t>
            </w:r>
            <w:r>
              <w:rPr>
                <w:rFonts w:hint="eastAsia" w:ascii="宋体" w:hAnsi="宋体" w:eastAsia="宋体" w:cs="宋体"/>
                <w:color w:val="auto"/>
                <w:sz w:val="21"/>
                <w:szCs w:val="21"/>
                <w:highlight w:val="none"/>
                <w:lang w:val="en-US" w:eastAsia="zh-CN"/>
              </w:rPr>
              <w:t>”小袋装入“参选文件”大袋中，密封并在大袋上加盖单位公章，同时“参选文件”大袋应按本表第 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项的规定写明相应内容。大袋未按要求密封的，比选人或代理机构拒收。</w:t>
            </w:r>
          </w:p>
          <w:p>
            <w:pPr>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未按上述规定封装，比选人应当拒绝接收。</w:t>
            </w:r>
          </w:p>
          <w:p>
            <w:pPr>
              <w:pStyle w:val="21"/>
              <w:keepNext w:val="0"/>
              <w:keepLines w:val="0"/>
              <w:pageBreakBefore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注：如因</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文件资料较多，无法装入一袋的，可以装成两袋或更多，但必须符合上述各相应资料袋的封装要求。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25</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eastAsia="zh-CN"/>
              </w:rPr>
              <w:t>参选</w:t>
            </w:r>
            <w:r>
              <w:rPr>
                <w:rFonts w:hint="eastAsia" w:ascii="宋体" w:hAnsi="宋体" w:eastAsia="宋体" w:cs="宋体"/>
                <w:color w:val="auto"/>
                <w:szCs w:val="21"/>
                <w:highlight w:val="none"/>
              </w:rPr>
              <w:t>文件袋的</w:t>
            </w:r>
            <w:r>
              <w:rPr>
                <w:rFonts w:hint="eastAsia" w:ascii="宋体" w:hAnsi="宋体" w:eastAsia="宋体" w:cs="宋体"/>
                <w:color w:val="auto"/>
                <w:kern w:val="0"/>
                <w:szCs w:val="21"/>
                <w:highlight w:val="none"/>
              </w:rPr>
              <w:t>封套上须写明</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项目名称： </w:t>
            </w:r>
            <w:r>
              <w:rPr>
                <w:rFonts w:hint="eastAsia" w:ascii="宋体" w:hAnsi="宋体" w:eastAsia="宋体" w:cs="宋体"/>
                <w:color w:val="auto"/>
                <w:szCs w:val="21"/>
                <w:highlight w:val="none"/>
                <w:u w:val="single"/>
              </w:rPr>
              <w:t xml:space="preserve">                       </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eastAsia="zh-CN"/>
              </w:rPr>
              <w:t>参选</w:t>
            </w:r>
            <w:r>
              <w:rPr>
                <w:rFonts w:hint="eastAsia" w:ascii="宋体" w:hAnsi="宋体" w:eastAsia="宋体" w:cs="宋体"/>
                <w:color w:val="auto"/>
                <w:szCs w:val="21"/>
                <w:highlight w:val="none"/>
              </w:rPr>
              <w:t>人名称：</w:t>
            </w:r>
            <w:r>
              <w:rPr>
                <w:rFonts w:hint="eastAsia" w:ascii="宋体" w:hAnsi="宋体" w:eastAsia="宋体" w:cs="宋体"/>
                <w:color w:val="auto"/>
                <w:szCs w:val="21"/>
                <w:highlight w:val="none"/>
                <w:u w:val="single"/>
              </w:rPr>
              <w:t xml:space="preserve">                   </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参选</w:t>
            </w:r>
            <w:r>
              <w:rPr>
                <w:rFonts w:hint="eastAsia" w:ascii="宋体" w:hAnsi="宋体" w:eastAsia="宋体" w:cs="宋体"/>
                <w:color w:val="auto"/>
                <w:szCs w:val="21"/>
                <w:highlight w:val="none"/>
              </w:rPr>
              <w:t>文件在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26</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参选</w:t>
            </w:r>
            <w:r>
              <w:rPr>
                <w:rFonts w:hint="eastAsia" w:ascii="宋体" w:hAnsi="宋体" w:eastAsia="宋体" w:cs="宋体"/>
                <w:color w:val="auto"/>
                <w:kern w:val="0"/>
                <w:szCs w:val="21"/>
                <w:highlight w:val="none"/>
              </w:rPr>
              <w:t>文件递交时间</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u w:val="single"/>
              </w:rPr>
              <w:t>同比选公告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27</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参选</w:t>
            </w:r>
            <w:r>
              <w:rPr>
                <w:rFonts w:hint="eastAsia" w:ascii="宋体" w:hAnsi="宋体" w:eastAsia="宋体" w:cs="宋体"/>
                <w:color w:val="auto"/>
                <w:kern w:val="0"/>
                <w:szCs w:val="21"/>
                <w:highlight w:val="none"/>
              </w:rPr>
              <w:t>文件递交地点</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Cs/>
                <w:color w:val="auto"/>
                <w:kern w:val="0"/>
                <w:szCs w:val="21"/>
                <w:highlight w:val="none"/>
                <w:u w:val="single"/>
              </w:rPr>
            </w:pPr>
            <w:r>
              <w:rPr>
                <w:rFonts w:hint="eastAsia" w:ascii="宋体" w:hAnsi="宋体" w:eastAsia="宋体" w:cs="宋体"/>
                <w:bCs/>
                <w:color w:val="auto"/>
                <w:kern w:val="0"/>
                <w:szCs w:val="21"/>
                <w:highlight w:val="none"/>
                <w:u w:val="single"/>
              </w:rPr>
              <w:t>重庆</w:t>
            </w:r>
            <w:r>
              <w:rPr>
                <w:rFonts w:hint="eastAsia" w:ascii="宋体" w:hAnsi="宋体" w:eastAsia="宋体" w:cs="宋体"/>
                <w:bCs/>
                <w:color w:val="auto"/>
                <w:kern w:val="0"/>
                <w:szCs w:val="21"/>
                <w:highlight w:val="none"/>
                <w:u w:val="single"/>
                <w:lang w:val="en-US" w:eastAsia="zh-CN"/>
              </w:rPr>
              <w:t>市渝中区金渝大厦38层山水城文旅公司会议室</w:t>
            </w:r>
            <w:r>
              <w:rPr>
                <w:rFonts w:hint="eastAsia" w:ascii="宋体" w:hAnsi="宋体" w:eastAsia="宋体" w:cs="宋体"/>
                <w:bCs/>
                <w:color w:val="auto"/>
                <w:kern w:val="0"/>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28</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是否退还</w:t>
            </w:r>
            <w:r>
              <w:rPr>
                <w:rFonts w:hint="eastAsia" w:ascii="宋体" w:hAnsi="宋体" w:eastAsia="宋体" w:cs="宋体"/>
                <w:color w:val="auto"/>
                <w:kern w:val="0"/>
                <w:szCs w:val="21"/>
                <w:highlight w:val="none"/>
                <w:lang w:eastAsia="zh-CN"/>
              </w:rPr>
              <w:t>参选</w:t>
            </w:r>
            <w:r>
              <w:rPr>
                <w:rFonts w:hint="eastAsia" w:ascii="宋体" w:hAnsi="宋体" w:eastAsia="宋体" w:cs="宋体"/>
                <w:color w:val="auto"/>
                <w:kern w:val="0"/>
                <w:szCs w:val="21"/>
                <w:highlight w:val="none"/>
              </w:rPr>
              <w:t>文件</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■否</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口是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29</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比选时间和地点</w:t>
            </w:r>
          </w:p>
        </w:tc>
        <w:tc>
          <w:tcPr>
            <w:tcW w:w="7134" w:type="dxa"/>
            <w:noWrap w:val="0"/>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rPr>
              <w:t>比选时间：</w:t>
            </w:r>
            <w:r>
              <w:rPr>
                <w:rFonts w:hint="eastAsia" w:ascii="宋体" w:hAnsi="宋体" w:eastAsia="宋体" w:cs="宋体"/>
                <w:color w:val="auto"/>
                <w:kern w:val="0"/>
                <w:szCs w:val="21"/>
                <w:highlight w:val="none"/>
                <w:u w:val="single"/>
              </w:rPr>
              <w:t>同</w:t>
            </w:r>
            <w:r>
              <w:rPr>
                <w:rFonts w:hint="eastAsia" w:ascii="宋体" w:hAnsi="宋体" w:eastAsia="宋体" w:cs="宋体"/>
                <w:color w:val="auto"/>
                <w:kern w:val="0"/>
                <w:szCs w:val="21"/>
                <w:highlight w:val="none"/>
                <w:u w:val="single"/>
                <w:lang w:eastAsia="zh-CN"/>
              </w:rPr>
              <w:t>参选</w:t>
            </w:r>
            <w:r>
              <w:rPr>
                <w:rFonts w:hint="eastAsia" w:ascii="宋体" w:hAnsi="宋体" w:eastAsia="宋体" w:cs="宋体"/>
                <w:color w:val="auto"/>
                <w:kern w:val="0"/>
                <w:szCs w:val="21"/>
                <w:highlight w:val="none"/>
                <w:u w:val="single"/>
              </w:rPr>
              <w:t>文件递交截止时间</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bCs/>
                <w:color w:val="auto"/>
                <w:kern w:val="0"/>
                <w:szCs w:val="21"/>
                <w:highlight w:val="none"/>
                <w:u w:val="single"/>
              </w:rPr>
            </w:pPr>
            <w:r>
              <w:rPr>
                <w:rFonts w:hint="eastAsia" w:ascii="宋体" w:hAnsi="宋体" w:eastAsia="宋体" w:cs="宋体"/>
                <w:color w:val="auto"/>
                <w:kern w:val="0"/>
                <w:szCs w:val="21"/>
                <w:highlight w:val="none"/>
              </w:rPr>
              <w:t>比选地点：</w:t>
            </w:r>
            <w:r>
              <w:rPr>
                <w:rFonts w:hint="eastAsia" w:ascii="宋体" w:hAnsi="宋体" w:eastAsia="宋体" w:cs="宋体"/>
                <w:color w:val="auto"/>
                <w:kern w:val="0"/>
                <w:szCs w:val="21"/>
                <w:highlight w:val="none"/>
                <w:u w:val="single"/>
              </w:rPr>
              <w:t>同</w:t>
            </w:r>
            <w:r>
              <w:rPr>
                <w:rFonts w:hint="eastAsia" w:ascii="宋体" w:hAnsi="宋体" w:eastAsia="宋体" w:cs="宋体"/>
                <w:color w:val="auto"/>
                <w:kern w:val="0"/>
                <w:szCs w:val="21"/>
                <w:highlight w:val="none"/>
                <w:u w:val="single"/>
                <w:lang w:eastAsia="zh-CN"/>
              </w:rPr>
              <w:t>参选</w:t>
            </w:r>
            <w:r>
              <w:rPr>
                <w:rFonts w:hint="eastAsia" w:ascii="宋体" w:hAnsi="宋体" w:eastAsia="宋体" w:cs="宋体"/>
                <w:color w:val="auto"/>
                <w:kern w:val="0"/>
                <w:szCs w:val="21"/>
                <w:highlight w:val="none"/>
                <w:u w:val="single"/>
              </w:rPr>
              <w:t>文件递交地点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0"/>
                <w:szCs w:val="21"/>
                <w:highlight w:val="none"/>
                <w:lang w:val="en-US" w:eastAsia="zh-CN"/>
              </w:rPr>
              <w:t>30</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比选程序</w:t>
            </w:r>
          </w:p>
        </w:tc>
        <w:tc>
          <w:tcPr>
            <w:tcW w:w="713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主持人按下列程序进行开标：</w:t>
            </w:r>
          </w:p>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核验参加比选会议的参选人的法定代表人或委托代理人本人身份证（原件），核验委托代理人的授权委托书、养老保险证明材料复印件，以确认其身份合法有效；若经核实委托代理人提供资料与实际不符的，不得参加比选会。核验合格的法定代表人或委托代理人可自行选择是否参加比选会，不参加比选会的视为默认比选结果。</w:t>
            </w:r>
          </w:p>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宣布比选纪律。</w:t>
            </w:r>
          </w:p>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 公布在参选截止时间前递交参选文件的参选人名称。</w:t>
            </w:r>
          </w:p>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 参选文件的密封检查：参选人可对自己的参选文件封装情况进行检查，以确认其参选文件密封完好。</w:t>
            </w:r>
          </w:p>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 公布最高限价。</w:t>
            </w:r>
          </w:p>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 随机开启参选文件。开启参选文件，公布参选人名称、参选报价及其他内容并记录在案。</w:t>
            </w:r>
          </w:p>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 参选人对比选有异议的，应当场提出，由比选人当场答复，并记录到比选记录表中。异议处理完毕后，汇总比选情况。</w:t>
            </w:r>
          </w:p>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 参选人代表在比选记录上签字确认。因其他原因未能签字的，视为默认比选结果。</w:t>
            </w:r>
          </w:p>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 开标结束。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31</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公开比选委员会</w:t>
            </w:r>
            <w:r>
              <w:rPr>
                <w:rFonts w:hint="eastAsia" w:ascii="宋体" w:hAnsi="宋体" w:eastAsia="宋体" w:cs="宋体"/>
                <w:color w:val="auto"/>
                <w:kern w:val="0"/>
                <w:szCs w:val="21"/>
                <w:highlight w:val="none"/>
              </w:rPr>
              <w:t>的组建</w:t>
            </w:r>
          </w:p>
        </w:tc>
        <w:tc>
          <w:tcPr>
            <w:tcW w:w="7134" w:type="dxa"/>
            <w:noWrap w:val="0"/>
            <w:vAlign w:val="center"/>
          </w:tcPr>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由比选人依法按程序组建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32</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是否授权</w:t>
            </w:r>
            <w:r>
              <w:rPr>
                <w:rFonts w:hint="eastAsia" w:ascii="宋体" w:hAnsi="宋体" w:eastAsia="宋体" w:cs="宋体"/>
                <w:color w:val="auto"/>
                <w:kern w:val="0"/>
                <w:szCs w:val="21"/>
                <w:highlight w:val="none"/>
                <w:lang w:val="en-US" w:eastAsia="zh-CN"/>
              </w:rPr>
              <w:t>公开比选委员会</w:t>
            </w:r>
            <w:r>
              <w:rPr>
                <w:rFonts w:hint="eastAsia" w:ascii="宋体" w:hAnsi="宋体" w:eastAsia="宋体" w:cs="宋体"/>
                <w:color w:val="auto"/>
                <w:kern w:val="0"/>
                <w:szCs w:val="21"/>
                <w:highlight w:val="none"/>
              </w:rPr>
              <w:t>确定</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中选人</w:t>
            </w:r>
          </w:p>
        </w:tc>
        <w:tc>
          <w:tcPr>
            <w:tcW w:w="7134" w:type="dxa"/>
            <w:noWrap w:val="0"/>
            <w:vAlign w:val="center"/>
          </w:tcPr>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否， 按第三章比选办法的规定推荐 1-3 名中选候选人。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kern w:val="0"/>
                <w:szCs w:val="21"/>
                <w:highlight w:val="none"/>
                <w:lang w:val="en-US" w:eastAsia="zh-CN"/>
              </w:rPr>
              <w:t>33</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highlight w:val="none"/>
              </w:rPr>
            </w:pPr>
            <w:r>
              <w:rPr>
                <w:rFonts w:hint="eastAsia" w:ascii="宋体" w:hAnsi="宋体" w:eastAsia="宋体" w:cs="宋体"/>
                <w:color w:val="auto"/>
                <w:kern w:val="0"/>
                <w:szCs w:val="21"/>
                <w:highlight w:val="none"/>
              </w:rPr>
              <w:t>履约保证金</w:t>
            </w:r>
          </w:p>
        </w:tc>
        <w:tc>
          <w:tcPr>
            <w:tcW w:w="7134" w:type="dxa"/>
            <w:noWrap w:val="0"/>
            <w:vAlign w:val="center"/>
          </w:tcPr>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34</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重新比选</w:t>
            </w:r>
          </w:p>
        </w:tc>
        <w:tc>
          <w:tcPr>
            <w:tcW w:w="7134" w:type="dxa"/>
            <w:noWrap w:val="0"/>
            <w:vAlign w:val="center"/>
          </w:tcPr>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有下列情形之一的，</w:t>
            </w:r>
            <w:r>
              <w:rPr>
                <w:rFonts w:hint="eastAsia" w:ascii="宋体" w:hAnsi="宋体" w:eastAsia="宋体" w:cs="宋体"/>
                <w:color w:val="auto"/>
                <w:szCs w:val="21"/>
                <w:highlight w:val="none"/>
                <w:lang w:val="en-US" w:eastAsia="zh-CN"/>
              </w:rPr>
              <w:t>比选</w:t>
            </w:r>
            <w:r>
              <w:rPr>
                <w:rFonts w:hint="eastAsia" w:ascii="宋体" w:hAnsi="宋体" w:eastAsia="宋体" w:cs="宋体"/>
                <w:color w:val="auto"/>
                <w:szCs w:val="21"/>
                <w:highlight w:val="none"/>
              </w:rPr>
              <w:t>人将重新</w:t>
            </w:r>
            <w:r>
              <w:rPr>
                <w:rFonts w:hint="eastAsia" w:ascii="宋体" w:hAnsi="宋体" w:eastAsia="宋体" w:cs="宋体"/>
                <w:color w:val="auto"/>
                <w:szCs w:val="21"/>
                <w:highlight w:val="none"/>
                <w:lang w:val="en-US" w:eastAsia="zh-CN"/>
              </w:rPr>
              <w:t>比选</w:t>
            </w:r>
            <w:r>
              <w:rPr>
                <w:rFonts w:hint="eastAsia" w:ascii="宋体" w:hAnsi="宋体" w:eastAsia="宋体" w:cs="宋体"/>
                <w:color w:val="auto"/>
                <w:szCs w:val="21"/>
                <w:highlight w:val="none"/>
              </w:rPr>
              <w:t>：</w:t>
            </w:r>
          </w:p>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参选</w:t>
            </w:r>
            <w:r>
              <w:rPr>
                <w:rFonts w:hint="eastAsia" w:ascii="宋体" w:hAnsi="宋体" w:eastAsia="宋体" w:cs="宋体"/>
                <w:color w:val="auto"/>
                <w:szCs w:val="21"/>
                <w:highlight w:val="none"/>
              </w:rPr>
              <w:t>截止时间止，</w:t>
            </w:r>
            <w:r>
              <w:rPr>
                <w:rFonts w:hint="eastAsia" w:ascii="宋体" w:hAnsi="宋体" w:cs="宋体"/>
                <w:color w:val="auto"/>
                <w:szCs w:val="21"/>
                <w:highlight w:val="none"/>
                <w:lang w:val="en-US" w:eastAsia="zh-CN"/>
              </w:rPr>
              <w:t>无参选人</w:t>
            </w:r>
            <w:r>
              <w:rPr>
                <w:rFonts w:hint="eastAsia" w:ascii="宋体" w:hAnsi="宋体" w:eastAsia="宋体" w:cs="宋体"/>
                <w:color w:val="auto"/>
                <w:szCs w:val="21"/>
                <w:highlight w:val="none"/>
              </w:rPr>
              <w:t>的；</w:t>
            </w:r>
          </w:p>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w:t>
            </w:r>
            <w:r>
              <w:rPr>
                <w:rFonts w:hint="eastAsia" w:ascii="宋体" w:hAnsi="宋体" w:eastAsia="宋体" w:cs="宋体"/>
                <w:color w:val="auto"/>
                <w:szCs w:val="21"/>
                <w:highlight w:val="none"/>
                <w:lang w:val="en-US" w:eastAsia="zh-CN"/>
              </w:rPr>
              <w:t>公开比选</w:t>
            </w:r>
            <w:r>
              <w:rPr>
                <w:rFonts w:hint="eastAsia" w:ascii="宋体" w:hAnsi="宋体" w:eastAsia="宋体" w:cs="宋体"/>
                <w:color w:val="auto"/>
                <w:szCs w:val="21"/>
                <w:highlight w:val="none"/>
              </w:rPr>
              <w:t>委员会评审后否决所有</w:t>
            </w:r>
            <w:r>
              <w:rPr>
                <w:rFonts w:hint="eastAsia" w:ascii="宋体" w:hAnsi="宋体" w:eastAsia="宋体" w:cs="宋体"/>
                <w:color w:val="auto"/>
                <w:szCs w:val="21"/>
                <w:highlight w:val="none"/>
                <w:lang w:val="en-US" w:eastAsia="zh-CN"/>
              </w:rPr>
              <w:t>参选</w:t>
            </w:r>
            <w:r>
              <w:rPr>
                <w:rFonts w:hint="eastAsia" w:ascii="宋体" w:hAnsi="宋体" w:eastAsia="宋体" w:cs="宋体"/>
                <w:color w:val="auto"/>
                <w:szCs w:val="21"/>
                <w:highlight w:val="none"/>
              </w:rPr>
              <w:t>的；</w:t>
            </w:r>
          </w:p>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）法律法规规定的其他情形。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35</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重新比选和不再比选</w:t>
            </w:r>
          </w:p>
        </w:tc>
        <w:tc>
          <w:tcPr>
            <w:tcW w:w="7134" w:type="dxa"/>
            <w:noWrap w:val="0"/>
            <w:vAlign w:val="center"/>
          </w:tcPr>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重新</w:t>
            </w:r>
            <w:r>
              <w:rPr>
                <w:rFonts w:hint="eastAsia" w:ascii="宋体" w:hAnsi="宋体" w:cs="宋体"/>
                <w:color w:val="auto"/>
                <w:szCs w:val="21"/>
                <w:highlight w:val="none"/>
                <w:lang w:val="en-US" w:eastAsia="zh-CN"/>
              </w:rPr>
              <w:t>比选仍然</w:t>
            </w:r>
            <w:r>
              <w:rPr>
                <w:rFonts w:hint="eastAsia" w:ascii="宋体" w:hAnsi="宋体" w:eastAsia="宋体" w:cs="宋体"/>
                <w:color w:val="auto"/>
                <w:szCs w:val="21"/>
                <w:highlight w:val="none"/>
              </w:rPr>
              <w:t>无有效</w:t>
            </w:r>
            <w:r>
              <w:rPr>
                <w:rFonts w:hint="eastAsia" w:ascii="宋体" w:hAnsi="宋体" w:cs="宋体"/>
                <w:color w:val="auto"/>
                <w:szCs w:val="21"/>
                <w:highlight w:val="none"/>
                <w:lang w:val="en-US" w:eastAsia="zh-CN"/>
              </w:rPr>
              <w:t>参选</w:t>
            </w:r>
            <w:r>
              <w:rPr>
                <w:rFonts w:hint="eastAsia" w:ascii="宋体" w:hAnsi="宋体" w:eastAsia="宋体" w:cs="宋体"/>
                <w:color w:val="auto"/>
                <w:szCs w:val="21"/>
                <w:highlight w:val="none"/>
              </w:rPr>
              <w:t>人的，可以不再进行</w:t>
            </w:r>
            <w:r>
              <w:rPr>
                <w:rFonts w:hint="eastAsia" w:ascii="宋体" w:hAnsi="宋体" w:cs="宋体"/>
                <w:color w:val="auto"/>
                <w:szCs w:val="21"/>
                <w:highlight w:val="none"/>
                <w:lang w:val="en-US" w:eastAsia="zh-CN"/>
              </w:rPr>
              <w:t>公开比选。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w:t>
            </w:r>
            <w:r>
              <w:rPr>
                <w:rFonts w:hint="eastAsia" w:ascii="宋体" w:hAnsi="宋体" w:cs="宋体"/>
                <w:color w:val="auto"/>
                <w:kern w:val="0"/>
                <w:szCs w:val="21"/>
                <w:highlight w:val="none"/>
                <w:lang w:val="en-US" w:eastAsia="zh-CN"/>
              </w:rPr>
              <w:t>6</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比选代理服务费</w:t>
            </w:r>
          </w:p>
        </w:tc>
        <w:tc>
          <w:tcPr>
            <w:tcW w:w="7134" w:type="dxa"/>
            <w:noWrap w:val="0"/>
            <w:vAlign w:val="center"/>
          </w:tcPr>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88"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b/>
                <w:color w:val="auto"/>
                <w:kern w:val="0"/>
                <w:szCs w:val="21"/>
                <w:highlight w:val="none"/>
                <w:lang w:val="en-US" w:eastAsia="zh-CN"/>
              </w:rPr>
            </w:pPr>
            <w:r>
              <w:rPr>
                <w:rFonts w:hint="eastAsia" w:ascii="宋体" w:hAnsi="宋体" w:cs="宋体"/>
                <w:color w:val="auto"/>
                <w:kern w:val="0"/>
                <w:szCs w:val="21"/>
                <w:highlight w:val="none"/>
                <w:lang w:val="en-US" w:eastAsia="zh-CN"/>
              </w:rPr>
              <w:t>37</w:t>
            </w:r>
          </w:p>
        </w:tc>
        <w:tc>
          <w:tcPr>
            <w:tcW w:w="1730" w:type="dxa"/>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比选结果公示</w:t>
            </w:r>
          </w:p>
        </w:tc>
        <w:tc>
          <w:tcPr>
            <w:tcW w:w="7134" w:type="dxa"/>
            <w:noWrap w:val="0"/>
            <w:vAlign w:val="center"/>
          </w:tcPr>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比选结束后，比选人将比选结果在</w:t>
            </w:r>
            <w:r>
              <w:rPr>
                <w:rFonts w:hint="eastAsia" w:ascii="宋体" w:hAnsi="宋体" w:eastAsia="宋体" w:cs="宋体"/>
                <w:color w:val="auto"/>
                <w:szCs w:val="21"/>
                <w:highlight w:val="none"/>
                <w:lang w:eastAsia="zh-CN"/>
              </w:rPr>
              <w:t>重庆山水城文化旅游发展有限公司</w:t>
            </w:r>
            <w:r>
              <w:rPr>
                <w:rFonts w:hint="eastAsia" w:ascii="宋体" w:hAnsi="宋体" w:eastAsia="宋体" w:cs="宋体"/>
                <w:color w:val="auto"/>
                <w:szCs w:val="21"/>
                <w:highlight w:val="none"/>
              </w:rPr>
              <w:t>官网（</w:t>
            </w:r>
            <w:r>
              <w:rPr>
                <w:rFonts w:hint="eastAsia" w:ascii="宋体" w:hAnsi="宋体" w:eastAsia="宋体" w:cs="宋体"/>
                <w:color w:val="auto"/>
                <w:szCs w:val="21"/>
                <w:highlight w:val="none"/>
                <w:lang w:eastAsia="zh-CN"/>
              </w:rPr>
              <w:t>http://www.cqsswl.com/</w:t>
            </w:r>
            <w:r>
              <w:rPr>
                <w:rFonts w:hint="eastAsia" w:ascii="宋体" w:hAnsi="宋体" w:eastAsia="宋体" w:cs="宋体"/>
                <w:color w:val="auto"/>
                <w:szCs w:val="21"/>
                <w:highlight w:val="none"/>
              </w:rPr>
              <w:t xml:space="preserve">）进行公示，公示时间不少于 </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个</w:t>
            </w:r>
            <w:r>
              <w:rPr>
                <w:rFonts w:hint="eastAsia" w:ascii="宋体" w:hAnsi="宋体" w:cs="宋体"/>
                <w:color w:val="auto"/>
                <w:szCs w:val="21"/>
                <w:highlight w:val="none"/>
                <w:lang w:val="en-US" w:eastAsia="zh-CN"/>
              </w:rPr>
              <w:t>自然</w:t>
            </w:r>
            <w:r>
              <w:rPr>
                <w:rFonts w:hint="eastAsia" w:ascii="宋体" w:hAnsi="宋体" w:eastAsia="宋体" w:cs="宋体"/>
                <w:color w:val="auto"/>
                <w:szCs w:val="21"/>
                <w:highlight w:val="none"/>
              </w:rPr>
              <w:t>日。公示期间若无任何质疑投诉或经调查质疑投诉不成立的，第一中选候选人</w:t>
            </w:r>
            <w:r>
              <w:rPr>
                <w:rFonts w:hint="eastAsia" w:ascii="宋体" w:hAnsi="宋体" w:cs="宋体"/>
                <w:color w:val="auto"/>
                <w:szCs w:val="21"/>
                <w:highlight w:val="none"/>
                <w:lang w:val="en-US" w:eastAsia="zh-CN"/>
              </w:rPr>
              <w:t>中选</w:t>
            </w:r>
            <w:r>
              <w:rPr>
                <w:rFonts w:hint="eastAsia" w:ascii="宋体" w:hAnsi="宋体" w:eastAsia="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188" w:type="dxa"/>
            <w:noWrap w:val="0"/>
            <w:vAlign w:val="center"/>
          </w:tcPr>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38</w:t>
            </w:r>
          </w:p>
        </w:tc>
        <w:tc>
          <w:tcPr>
            <w:tcW w:w="1730" w:type="dxa"/>
            <w:noWrap w:val="0"/>
            <w:vAlign w:val="center"/>
          </w:tcPr>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付款方式</w:t>
            </w:r>
          </w:p>
        </w:tc>
        <w:tc>
          <w:tcPr>
            <w:tcW w:w="7134" w:type="dxa"/>
            <w:noWrap w:val="0"/>
            <w:vAlign w:val="center"/>
          </w:tcPr>
          <w:p>
            <w:pPr>
              <w:keepNext w:val="0"/>
              <w:keepLines w:val="0"/>
              <w:pageBreakBefore w:val="0"/>
              <w:widowControl w:val="0"/>
              <w:numPr>
                <w:ilvl w:val="0"/>
                <w:numId w:val="0"/>
              </w:numPr>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bookmarkStart w:id="19" w:name="OLE_LINK7"/>
            <w:r>
              <w:rPr>
                <w:rFonts w:hint="eastAsia" w:ascii="宋体" w:hAnsi="宋体" w:cs="宋体"/>
                <w:color w:val="auto"/>
                <w:highlight w:val="none"/>
                <w:lang w:val="en-US" w:eastAsia="zh-CN"/>
              </w:rPr>
              <w:t>策划编制内容完成并经发包人验收同意并提供相应成果后</w:t>
            </w:r>
            <w:bookmarkEnd w:id="19"/>
            <w:bookmarkStart w:id="20" w:name="OLE_LINK3"/>
            <w:r>
              <w:rPr>
                <w:rFonts w:hint="eastAsia" w:ascii="宋体" w:hAnsi="宋体" w:cs="宋体"/>
                <w:color w:val="auto"/>
                <w:highlight w:val="none"/>
                <w:lang w:val="en-US" w:eastAsia="zh-CN"/>
              </w:rPr>
              <w:t>，5个工作日内发包人</w:t>
            </w:r>
            <w:r>
              <w:rPr>
                <w:rFonts w:hint="eastAsia" w:ascii="宋体" w:hAnsi="宋体" w:eastAsia="宋体" w:cs="宋体"/>
                <w:color w:val="auto"/>
                <w:highlight w:val="none"/>
                <w:lang w:val="en-US" w:eastAsia="zh-CN"/>
              </w:rPr>
              <w:t>支付</w:t>
            </w:r>
            <w:r>
              <w:rPr>
                <w:rFonts w:hint="eastAsia" w:ascii="宋体" w:hAnsi="宋体" w:cs="宋体"/>
                <w:color w:val="auto"/>
                <w:highlight w:val="none"/>
                <w:lang w:val="en-US" w:eastAsia="zh-CN"/>
              </w:rPr>
              <w:t>给承包人对应的策划编制费用</w:t>
            </w:r>
            <w:r>
              <w:rPr>
                <w:rFonts w:hint="eastAsia" w:ascii="宋体" w:hAnsi="宋体" w:eastAsia="宋体" w:cs="宋体"/>
                <w:color w:val="auto"/>
                <w:highlight w:val="none"/>
                <w:lang w:val="en-US" w:eastAsia="zh-CN"/>
              </w:rPr>
              <w:t>。</w:t>
            </w:r>
          </w:p>
          <w:bookmarkEnd w:id="20"/>
          <w:p>
            <w:pPr>
              <w:keepNext w:val="0"/>
              <w:keepLines w:val="0"/>
              <w:pageBreakBefore w:val="0"/>
              <w:widowControl w:val="0"/>
              <w:numPr>
                <w:ilvl w:val="0"/>
                <w:numId w:val="0"/>
              </w:numPr>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光影作品内容邀约完成，作品呈现效果经发包人验收同意并获得永久使用权及源文件后，5个工作日内发包人支付给承包人相应作品的补偿费用。承包人收款后需提供支付给作品应邀人的支付凭证给发包人备案，否则发包人有权追回已支付的补偿费用。</w:t>
            </w:r>
          </w:p>
          <w:p>
            <w:pPr>
              <w:keepNext w:val="0"/>
              <w:keepLines w:val="0"/>
              <w:pageBreakBefore w:val="0"/>
              <w:widowControl w:val="0"/>
              <w:numPr>
                <w:ilvl w:val="0"/>
                <w:numId w:val="0"/>
              </w:numPr>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.发包人付款前，承包人应向发包人提供与付款金额相对应增值税专用发票，否则发包人有权暂缓付款，由此导致的延缓付款责任由承包人承担。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188" w:type="dxa"/>
            <w:noWrap w:val="0"/>
            <w:vAlign w:val="center"/>
          </w:tcPr>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default" w:ascii="宋体" w:hAnsi="宋体" w:eastAsia="宋体" w:cs="宋体"/>
                <w:color w:val="auto"/>
                <w:szCs w:val="21"/>
                <w:highlight w:val="none"/>
                <w:lang w:val="en-US" w:eastAsia="zh-CN"/>
              </w:rPr>
            </w:pPr>
            <w:bookmarkStart w:id="21" w:name="_Toc200513126"/>
            <w:bookmarkStart w:id="22" w:name="_Toc224103317"/>
            <w:r>
              <w:rPr>
                <w:rFonts w:hint="eastAsia" w:ascii="宋体" w:hAnsi="宋体" w:cs="宋体"/>
                <w:color w:val="auto"/>
                <w:szCs w:val="21"/>
                <w:highlight w:val="none"/>
                <w:lang w:val="en-US" w:eastAsia="zh-CN"/>
              </w:rPr>
              <w:t>39</w:t>
            </w:r>
          </w:p>
        </w:tc>
        <w:tc>
          <w:tcPr>
            <w:tcW w:w="1730" w:type="dxa"/>
            <w:noWrap w:val="0"/>
            <w:vAlign w:val="center"/>
          </w:tcPr>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rPr>
              <w:t>合同签订</w:t>
            </w:r>
          </w:p>
        </w:tc>
        <w:tc>
          <w:tcPr>
            <w:tcW w:w="7134" w:type="dxa"/>
            <w:noWrap w:val="0"/>
            <w:vAlign w:val="center"/>
          </w:tcPr>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1.比选人与中选人应当在中选通知书发出之日起</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或中选结果公示结束后</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个工作日内，按照比选文件确定的合同文本以及中选价、质量、技术和服务要求、履行期限等事项签订合同。</w:t>
            </w:r>
          </w:p>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中选人无正当理由拒签合同的，比选人取消其承包资格。排名第一的中选侯选人放弃承包的、因不可抗力不能履行合同，或者被查实存在影响成交结果的违法行为等情形，不符合承包条件的，比选人可以按照候选中选人名单排序依次确定其他候选人为中选人，也可以重新组织比选，确定中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188" w:type="dxa"/>
            <w:noWrap w:val="0"/>
            <w:vAlign w:val="center"/>
          </w:tcPr>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40</w:t>
            </w:r>
          </w:p>
        </w:tc>
        <w:tc>
          <w:tcPr>
            <w:tcW w:w="1730" w:type="dxa"/>
            <w:noWrap w:val="0"/>
            <w:vAlign w:val="top"/>
          </w:tcPr>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p>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p>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rPr>
              <w:t>投诉处理</w:t>
            </w:r>
          </w:p>
        </w:tc>
        <w:tc>
          <w:tcPr>
            <w:tcW w:w="7134" w:type="dxa"/>
            <w:noWrap w:val="0"/>
            <w:vAlign w:val="top"/>
          </w:tcPr>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参选</w:t>
            </w:r>
            <w:r>
              <w:rPr>
                <w:rFonts w:hint="eastAsia" w:ascii="宋体" w:hAnsi="宋体" w:eastAsia="宋体" w:cs="宋体"/>
                <w:color w:val="auto"/>
                <w:szCs w:val="21"/>
                <w:highlight w:val="none"/>
              </w:rPr>
              <w:t>人或者其他利害关系人就比选结果等事项投诉的，应当先向比选人提出异议；比选人应当在规定时间内答复；对比选人的答复不满意的，或比选人未答复的，可向主管行业部门投诉。</w:t>
            </w:r>
          </w:p>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rPr>
              <w:t>2.投诉人捏造事实、伪造材料或者以非法手段取得证明材料进行投诉的，行政监督部门应当予以驳回；给他人造成损失的，依法承担赔偿责任。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188" w:type="dxa"/>
            <w:noWrap w:val="0"/>
            <w:vAlign w:val="center"/>
          </w:tcPr>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41</w:t>
            </w:r>
          </w:p>
        </w:tc>
        <w:tc>
          <w:tcPr>
            <w:tcW w:w="1730" w:type="dxa"/>
            <w:noWrap w:val="0"/>
            <w:vAlign w:val="top"/>
          </w:tcPr>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rPr>
            </w:pPr>
          </w:p>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rPr>
              <w:t>关于对比选文件及</w:t>
            </w:r>
            <w:r>
              <w:rPr>
                <w:rFonts w:hint="eastAsia" w:ascii="宋体" w:hAnsi="宋体" w:eastAsia="宋体" w:cs="宋体"/>
                <w:color w:val="auto"/>
                <w:szCs w:val="21"/>
                <w:highlight w:val="none"/>
                <w:lang w:eastAsia="zh-CN"/>
              </w:rPr>
              <w:t>参选</w:t>
            </w:r>
            <w:r>
              <w:rPr>
                <w:rFonts w:hint="eastAsia" w:ascii="宋体" w:hAnsi="宋体" w:eastAsia="宋体" w:cs="宋体"/>
                <w:color w:val="auto"/>
                <w:szCs w:val="21"/>
                <w:highlight w:val="none"/>
              </w:rPr>
              <w:t>争议的解释</w:t>
            </w:r>
          </w:p>
        </w:tc>
        <w:tc>
          <w:tcPr>
            <w:tcW w:w="7134" w:type="dxa"/>
            <w:noWrap w:val="0"/>
            <w:vAlign w:val="top"/>
          </w:tcPr>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rPr>
              <w:t>对比选文件的评审标准和方法，以及资格审查和否决竞标条款理解有争议的，应当作出不利于比选人的解释，但违背国家利益、社会公共利益的除外。</w:t>
            </w:r>
          </w:p>
          <w:p>
            <w:pPr>
              <w:keepNext w:val="0"/>
              <w:keepLines w:val="0"/>
              <w:pageBreakBefore w:val="0"/>
              <w:widowControl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rPr>
              <w:t>对</w:t>
            </w:r>
            <w:r>
              <w:rPr>
                <w:rFonts w:hint="eastAsia" w:ascii="宋体" w:hAnsi="宋体" w:eastAsia="宋体" w:cs="宋体"/>
                <w:color w:val="auto"/>
                <w:szCs w:val="21"/>
                <w:highlight w:val="none"/>
                <w:lang w:val="en-US" w:eastAsia="zh-CN"/>
              </w:rPr>
              <w:t>参选</w:t>
            </w:r>
            <w:r>
              <w:rPr>
                <w:rFonts w:hint="eastAsia" w:ascii="宋体" w:hAnsi="宋体" w:eastAsia="宋体" w:cs="宋体"/>
                <w:color w:val="auto"/>
                <w:szCs w:val="21"/>
                <w:highlight w:val="none"/>
                <w:lang w:val="en-US"/>
              </w:rPr>
              <w:t>文件理解有争议的，应当作出不利于提交该</w:t>
            </w:r>
            <w:r>
              <w:rPr>
                <w:rFonts w:hint="eastAsia" w:ascii="宋体" w:hAnsi="宋体" w:eastAsia="宋体" w:cs="宋体"/>
                <w:color w:val="auto"/>
                <w:szCs w:val="21"/>
                <w:highlight w:val="none"/>
                <w:lang w:val="en-US" w:eastAsia="zh-CN"/>
              </w:rPr>
              <w:t>参选</w:t>
            </w:r>
            <w:r>
              <w:rPr>
                <w:rFonts w:hint="eastAsia" w:ascii="宋体" w:hAnsi="宋体" w:eastAsia="宋体" w:cs="宋体"/>
                <w:color w:val="auto"/>
                <w:szCs w:val="21"/>
                <w:highlight w:val="none"/>
                <w:lang w:val="en-US"/>
              </w:rPr>
              <w:t>文件的</w:t>
            </w:r>
            <w:r>
              <w:rPr>
                <w:rFonts w:hint="eastAsia" w:ascii="宋体" w:hAnsi="宋体" w:eastAsia="宋体" w:cs="宋体"/>
                <w:color w:val="auto"/>
                <w:szCs w:val="21"/>
                <w:highlight w:val="none"/>
                <w:lang w:val="en-US" w:eastAsia="zh-CN"/>
              </w:rPr>
              <w:t>参选</w:t>
            </w:r>
            <w:r>
              <w:rPr>
                <w:rFonts w:hint="eastAsia" w:ascii="宋体" w:hAnsi="宋体" w:eastAsia="宋体" w:cs="宋体"/>
                <w:color w:val="auto"/>
                <w:szCs w:val="21"/>
                <w:highlight w:val="none"/>
                <w:lang w:val="en-US"/>
              </w:rPr>
              <w:t>人的解释。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188" w:type="dxa"/>
            <w:noWrap w:val="0"/>
            <w:vAlign w:val="center"/>
          </w:tcPr>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42</w:t>
            </w:r>
          </w:p>
        </w:tc>
        <w:tc>
          <w:tcPr>
            <w:tcW w:w="1730" w:type="dxa"/>
            <w:noWrap w:val="0"/>
            <w:vAlign w:val="center"/>
          </w:tcPr>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jc w:val="center"/>
              <w:textAlignment w:val="auto"/>
              <w:rPr>
                <w:rFonts w:hint="eastAsia" w:ascii="宋体" w:hAnsi="宋体" w:eastAsia="宋体" w:cs="宋体"/>
                <w:color w:val="auto"/>
                <w:szCs w:val="21"/>
                <w:highlight w:val="none"/>
              </w:rPr>
            </w:pPr>
          </w:p>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jc w:val="center"/>
              <w:textAlignment w:val="auto"/>
              <w:rPr>
                <w:rFonts w:hint="eastAsia" w:ascii="宋体" w:hAnsi="宋体" w:eastAsia="宋体" w:cs="宋体"/>
                <w:color w:val="auto"/>
                <w:szCs w:val="21"/>
                <w:highlight w:val="none"/>
              </w:rPr>
            </w:pPr>
          </w:p>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jc w:val="center"/>
              <w:textAlignment w:val="auto"/>
              <w:rPr>
                <w:rFonts w:hint="eastAsia" w:ascii="宋体" w:hAnsi="宋体" w:eastAsia="宋体" w:cs="宋体"/>
                <w:color w:val="auto"/>
                <w:szCs w:val="21"/>
                <w:highlight w:val="none"/>
              </w:rPr>
            </w:pPr>
          </w:p>
          <w:p>
            <w:pPr>
              <w:keepNext w:val="0"/>
              <w:keepLines w:val="0"/>
              <w:pageBreakBefore w:val="0"/>
              <w:tabs>
                <w:tab w:val="left" w:pos="436"/>
                <w:tab w:val="left" w:pos="492"/>
              </w:tabs>
              <w:kinsoku/>
              <w:wordWrap/>
              <w:overflowPunct/>
              <w:topLinePunct w:val="0"/>
              <w:autoSpaceDE/>
              <w:autoSpaceDN/>
              <w:bidi w:val="0"/>
              <w:adjustRightInd/>
              <w:snapToGrid w:val="0"/>
              <w:spacing w:line="240" w:lineRule="auto"/>
              <w:ind w:firstLine="420" w:firstLineChars="200"/>
              <w:jc w:val="both"/>
              <w:textAlignment w:val="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rPr>
              <w:t>其它说明</w:t>
            </w:r>
          </w:p>
        </w:tc>
        <w:tc>
          <w:tcPr>
            <w:tcW w:w="7134" w:type="dxa"/>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结果公示结束后若无异议、投诉，经比选人确认后确定第一中选候选人为中选人，中选人必须按照明确的完成时限提供服务并完成工作，且不得因合同签订、付款支付问题影响工作推进，若中选人未能按规定时限完成工作，比选人有权单方面解除合同，所有损失由中选人自行承担。</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比选人有权根据项目实际情况决定最终是否实施该项目或改变实施计划，且有权根据情况变化取消或延迟与中选候选人签订合同，比选人不向参选人进行任何承诺。</w:t>
            </w:r>
          </w:p>
        </w:tc>
      </w:tr>
      <w:bookmarkEnd w:id="21"/>
      <w:bookmarkEnd w:id="22"/>
    </w:tbl>
    <w:p>
      <w:pPr>
        <w:pStyle w:val="3"/>
        <w:numPr>
          <w:ilvl w:val="0"/>
          <w:numId w:val="0"/>
        </w:numPr>
        <w:spacing w:line="360" w:lineRule="auto"/>
        <w:jc w:val="both"/>
        <w:rPr>
          <w:rFonts w:hint="eastAsia" w:ascii="宋体" w:hAnsi="宋体"/>
          <w:color w:val="auto"/>
          <w:highlight w:val="none"/>
          <w:lang w:val="en-US" w:eastAsia="zh-CN"/>
        </w:rPr>
      </w:pPr>
      <w:bookmarkStart w:id="23" w:name="_Toc509218774"/>
      <w:bookmarkStart w:id="24" w:name="_Toc68115907"/>
      <w:bookmarkStart w:id="25" w:name="_Toc6128"/>
      <w:bookmarkStart w:id="26" w:name="_Toc443576785"/>
      <w:bookmarkStart w:id="27" w:name="_Toc224103492"/>
    </w:p>
    <w:p>
      <w:pPr>
        <w:pStyle w:val="3"/>
        <w:numPr>
          <w:ilvl w:val="0"/>
          <w:numId w:val="0"/>
        </w:numPr>
        <w:spacing w:line="360" w:lineRule="auto"/>
        <w:ind w:leftChars="200"/>
        <w:jc w:val="center"/>
        <w:rPr>
          <w:rFonts w:ascii="宋体" w:hAnsi="宋体"/>
          <w:color w:val="auto"/>
          <w:highlight w:val="none"/>
        </w:rPr>
      </w:pPr>
      <w:r>
        <w:rPr>
          <w:rFonts w:hint="eastAsia" w:ascii="宋体" w:hAnsi="宋体"/>
          <w:color w:val="auto"/>
          <w:highlight w:val="none"/>
          <w:lang w:val="en-US" w:eastAsia="zh-CN"/>
        </w:rPr>
        <w:t>第三章</w:t>
      </w:r>
      <w:r>
        <w:rPr>
          <w:rFonts w:ascii="宋体" w:hAnsi="宋体"/>
          <w:color w:val="auto"/>
          <w:highlight w:val="none"/>
        </w:rPr>
        <w:t xml:space="preserve"> </w:t>
      </w:r>
      <w:r>
        <w:rPr>
          <w:rFonts w:hint="eastAsia" w:ascii="宋体" w:hAnsi="宋体"/>
          <w:color w:val="auto"/>
          <w:highlight w:val="none"/>
        </w:rPr>
        <w:t xml:space="preserve"> </w:t>
      </w:r>
      <w:r>
        <w:rPr>
          <w:rFonts w:ascii="宋体" w:hAnsi="宋体"/>
          <w:color w:val="auto"/>
          <w:highlight w:val="none"/>
        </w:rPr>
        <w:t>评标办法（</w:t>
      </w:r>
      <w:r>
        <w:rPr>
          <w:rFonts w:hint="eastAsia" w:ascii="宋体" w:hAnsi="宋体"/>
          <w:color w:val="auto"/>
          <w:highlight w:val="none"/>
          <w:lang w:val="en-US" w:eastAsia="zh-CN"/>
        </w:rPr>
        <w:t>经评审的最低投标价法</w:t>
      </w:r>
      <w:r>
        <w:rPr>
          <w:rFonts w:ascii="宋体" w:hAnsi="宋体"/>
          <w:color w:val="auto"/>
          <w:highlight w:val="none"/>
        </w:rPr>
        <w:t>）</w:t>
      </w:r>
      <w:bookmarkEnd w:id="23"/>
      <w:bookmarkEnd w:id="24"/>
      <w:bookmarkEnd w:id="25"/>
      <w:bookmarkStart w:id="28" w:name="_Toc430530499"/>
      <w:bookmarkStart w:id="29" w:name="_Toc224103383"/>
      <w:bookmarkStart w:id="30" w:name="_Toc287620750"/>
      <w:bookmarkStart w:id="31" w:name="_Toc287607811"/>
      <w:bookmarkStart w:id="32" w:name="_Toc277082617"/>
    </w:p>
    <w:p>
      <w:pPr>
        <w:pStyle w:val="4"/>
        <w:spacing w:before="100" w:after="100" w:line="360" w:lineRule="auto"/>
        <w:rPr>
          <w:rFonts w:ascii="宋体" w:hAnsi="宋体"/>
          <w:color w:val="auto"/>
          <w:highlight w:val="none"/>
        </w:rPr>
      </w:pPr>
      <w:bookmarkStart w:id="33" w:name="_Toc67475637"/>
      <w:bookmarkStart w:id="34" w:name="_Toc14663"/>
      <w:bookmarkStart w:id="35" w:name="_Toc68115908"/>
      <w:bookmarkStart w:id="36" w:name="_Toc509218775"/>
      <w:r>
        <w:rPr>
          <w:rFonts w:hint="eastAsia" w:ascii="宋体" w:hAnsi="宋体"/>
          <w:color w:val="auto"/>
          <w:highlight w:val="none"/>
        </w:rPr>
        <w:t>评标办法前附表</w:t>
      </w:r>
      <w:bookmarkEnd w:id="33"/>
      <w:bookmarkEnd w:id="34"/>
      <w:bookmarkEnd w:id="35"/>
      <w:bookmarkEnd w:id="36"/>
    </w:p>
    <w:p>
      <w:pPr>
        <w:spacing w:line="360" w:lineRule="auto"/>
        <w:ind w:firstLine="420" w:firstLineChars="200"/>
        <w:rPr>
          <w:color w:val="auto"/>
          <w:szCs w:val="21"/>
          <w:highlight w:val="none"/>
        </w:rPr>
      </w:pPr>
      <w:r>
        <w:rPr>
          <w:color w:val="auto"/>
          <w:szCs w:val="21"/>
          <w:highlight w:val="none"/>
        </w:rPr>
        <w:t>评标办法前附表中的评审内容必须和参选人须知前附表中的对应内容一致，若参选人须知前附表中未作要求的内容，不得列入评标办法前附表作为评定依据。</w:t>
      </w:r>
    </w:p>
    <w:bookmarkEnd w:id="28"/>
    <w:bookmarkEnd w:id="29"/>
    <w:bookmarkEnd w:id="30"/>
    <w:bookmarkEnd w:id="31"/>
    <w:bookmarkEnd w:id="32"/>
    <w:tbl>
      <w:tblPr>
        <w:tblStyle w:val="54"/>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994"/>
        <w:gridCol w:w="992"/>
        <w:gridCol w:w="1991"/>
        <w:gridCol w:w="5493"/>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986" w:type="dxa"/>
            <w:gridSpan w:val="2"/>
            <w:noWrap w:val="0"/>
            <w:vAlign w:val="center"/>
          </w:tcPr>
          <w:p>
            <w:pPr>
              <w:spacing w:line="360" w:lineRule="auto"/>
              <w:jc w:val="center"/>
              <w:rPr>
                <w:rFonts w:ascii="宋体" w:hAnsi="宋体"/>
                <w:b/>
                <w:color w:val="auto"/>
                <w:kern w:val="0"/>
                <w:highlight w:val="none"/>
              </w:rPr>
            </w:pPr>
            <w:bookmarkStart w:id="37" w:name="_Toc509218776"/>
            <w:r>
              <w:rPr>
                <w:rFonts w:ascii="宋体" w:hAnsi="宋体"/>
                <w:b/>
                <w:color w:val="auto"/>
                <w:kern w:val="0"/>
                <w:highlight w:val="none"/>
              </w:rPr>
              <w:t>条款号</w:t>
            </w:r>
          </w:p>
        </w:tc>
        <w:tc>
          <w:tcPr>
            <w:tcW w:w="1991" w:type="dxa"/>
            <w:noWrap w:val="0"/>
            <w:vAlign w:val="center"/>
          </w:tcPr>
          <w:p>
            <w:pPr>
              <w:spacing w:line="360" w:lineRule="auto"/>
              <w:jc w:val="center"/>
              <w:rPr>
                <w:rFonts w:ascii="宋体" w:hAnsi="宋体"/>
                <w:b/>
                <w:color w:val="auto"/>
                <w:kern w:val="0"/>
                <w:highlight w:val="none"/>
              </w:rPr>
            </w:pPr>
            <w:r>
              <w:rPr>
                <w:rFonts w:ascii="宋体" w:hAnsi="宋体"/>
                <w:b/>
                <w:color w:val="auto"/>
                <w:kern w:val="0"/>
                <w:highlight w:val="none"/>
              </w:rPr>
              <w:t>评审因素</w:t>
            </w:r>
          </w:p>
        </w:tc>
        <w:tc>
          <w:tcPr>
            <w:tcW w:w="5493" w:type="dxa"/>
            <w:noWrap w:val="0"/>
            <w:vAlign w:val="center"/>
          </w:tcPr>
          <w:p>
            <w:pPr>
              <w:spacing w:line="360" w:lineRule="auto"/>
              <w:jc w:val="center"/>
              <w:rPr>
                <w:rFonts w:ascii="宋体" w:hAnsi="宋体"/>
                <w:b/>
                <w:color w:val="auto"/>
                <w:kern w:val="0"/>
                <w:highlight w:val="none"/>
              </w:rPr>
            </w:pPr>
            <w:r>
              <w:rPr>
                <w:rFonts w:ascii="宋体" w:hAnsi="宋体"/>
                <w:b/>
                <w:color w:val="auto"/>
                <w:kern w:val="0"/>
                <w:highlight w:val="none"/>
              </w:rPr>
              <w:t>评审标准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98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kern w:val="0"/>
                <w:highlight w:val="none"/>
              </w:rPr>
            </w:pPr>
            <w:r>
              <w:rPr>
                <w:rFonts w:hint="eastAsia" w:ascii="宋体" w:hAnsi="宋体"/>
                <w:color w:val="auto"/>
                <w:kern w:val="0"/>
                <w:highlight w:val="none"/>
              </w:rPr>
              <w:t>1</w:t>
            </w:r>
          </w:p>
        </w:tc>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kern w:val="0"/>
                <w:highlight w:val="none"/>
              </w:rPr>
            </w:pPr>
            <w:r>
              <w:rPr>
                <w:rFonts w:ascii="宋体" w:hAnsi="宋体"/>
                <w:color w:val="auto"/>
                <w:kern w:val="0"/>
                <w:highlight w:val="none"/>
              </w:rPr>
              <w:t>评标办法</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宋体" w:hAnsi="宋体"/>
                <w:color w:val="auto"/>
                <w:kern w:val="0"/>
                <w:highlight w:val="none"/>
              </w:rPr>
            </w:pPr>
            <w:r>
              <w:rPr>
                <w:rFonts w:hint="eastAsia" w:ascii="宋体" w:hAnsi="宋体"/>
                <w:color w:val="auto"/>
                <w:kern w:val="0"/>
                <w:highlight w:val="none"/>
              </w:rPr>
              <w:t>本次评标采用经评审的最低</w:t>
            </w:r>
            <w:r>
              <w:rPr>
                <w:rFonts w:hint="eastAsia" w:ascii="宋体" w:hAnsi="宋体"/>
                <w:color w:val="auto"/>
                <w:kern w:val="0"/>
                <w:highlight w:val="none"/>
                <w:lang w:val="en-US" w:eastAsia="zh-CN"/>
              </w:rPr>
              <w:t>投标</w:t>
            </w:r>
            <w:r>
              <w:rPr>
                <w:rFonts w:hint="eastAsia" w:ascii="宋体" w:hAnsi="宋体"/>
                <w:color w:val="auto"/>
                <w:kern w:val="0"/>
                <w:highlight w:val="none"/>
              </w:rPr>
              <w:t>价法，</w:t>
            </w:r>
            <w:r>
              <w:rPr>
                <w:rFonts w:hint="eastAsia" w:ascii="宋体" w:hAnsi="宋体"/>
                <w:color w:val="auto"/>
                <w:kern w:val="0"/>
                <w:highlight w:val="none"/>
                <w:lang w:val="en-US" w:eastAsia="zh-CN"/>
              </w:rPr>
              <w:t>公开比选</w:t>
            </w:r>
            <w:r>
              <w:rPr>
                <w:rFonts w:hint="eastAsia" w:ascii="宋体" w:hAnsi="宋体"/>
                <w:color w:val="auto"/>
                <w:kern w:val="0"/>
                <w:highlight w:val="none"/>
              </w:rPr>
              <w:t>委员会按照</w:t>
            </w:r>
            <w:r>
              <w:rPr>
                <w:rFonts w:hint="eastAsia" w:ascii="宋体" w:hAnsi="宋体"/>
                <w:color w:val="auto"/>
                <w:kern w:val="0"/>
                <w:highlight w:val="none"/>
                <w:lang w:val="en-US" w:eastAsia="zh-CN"/>
              </w:rPr>
              <w:t>报价得分从高到低依次</w:t>
            </w:r>
            <w:r>
              <w:rPr>
                <w:rFonts w:hint="eastAsia" w:ascii="宋体" w:hAnsi="宋体"/>
                <w:color w:val="auto"/>
                <w:kern w:val="0"/>
                <w:highlight w:val="none"/>
              </w:rPr>
              <w:t>进行排序，按照本章第2.</w:t>
            </w:r>
            <w:r>
              <w:rPr>
                <w:rFonts w:hint="eastAsia" w:ascii="宋体" w:hAnsi="宋体"/>
                <w:color w:val="auto"/>
                <w:kern w:val="0"/>
                <w:highlight w:val="none"/>
                <w:lang w:val="en-US" w:eastAsia="zh-CN"/>
              </w:rPr>
              <w:t>1.1-2.1.3</w:t>
            </w:r>
            <w:r>
              <w:rPr>
                <w:rFonts w:hint="eastAsia" w:ascii="宋体" w:hAnsi="宋体"/>
                <w:color w:val="auto"/>
                <w:kern w:val="0"/>
                <w:highlight w:val="none"/>
              </w:rPr>
              <w:t>款进行符合性审查，符合性审查合格的</w:t>
            </w:r>
            <w:r>
              <w:rPr>
                <w:rFonts w:hint="eastAsia" w:ascii="宋体" w:hAnsi="宋体"/>
                <w:color w:val="auto"/>
                <w:kern w:val="0"/>
                <w:highlight w:val="none"/>
                <w:lang w:val="en-US" w:eastAsia="zh-CN"/>
              </w:rPr>
              <w:t>参选人</w:t>
            </w:r>
            <w:r>
              <w:rPr>
                <w:rFonts w:hint="eastAsia" w:ascii="宋体" w:hAnsi="宋体"/>
                <w:color w:val="auto"/>
                <w:kern w:val="0"/>
                <w:highlight w:val="none"/>
              </w:rPr>
              <w:t>按报价</w:t>
            </w:r>
            <w:r>
              <w:rPr>
                <w:rFonts w:hint="eastAsia" w:ascii="宋体" w:hAnsi="宋体"/>
                <w:color w:val="auto"/>
                <w:kern w:val="0"/>
                <w:highlight w:val="none"/>
                <w:lang w:val="en-US" w:eastAsia="zh-CN"/>
              </w:rPr>
              <w:t>得分</w:t>
            </w:r>
            <w:r>
              <w:rPr>
                <w:rFonts w:hint="eastAsia" w:ascii="宋体" w:hAnsi="宋体"/>
                <w:color w:val="auto"/>
                <w:kern w:val="0"/>
                <w:highlight w:val="none"/>
              </w:rPr>
              <w:t>由</w:t>
            </w:r>
            <w:r>
              <w:rPr>
                <w:rFonts w:hint="eastAsia" w:ascii="宋体" w:hAnsi="宋体"/>
                <w:color w:val="auto"/>
                <w:kern w:val="0"/>
                <w:highlight w:val="none"/>
                <w:lang w:val="en-US" w:eastAsia="zh-CN"/>
              </w:rPr>
              <w:t>高</w:t>
            </w:r>
            <w:r>
              <w:rPr>
                <w:rFonts w:hint="eastAsia" w:ascii="宋体" w:hAnsi="宋体"/>
                <w:color w:val="auto"/>
                <w:kern w:val="0"/>
                <w:highlight w:val="none"/>
              </w:rPr>
              <w:t>到</w:t>
            </w:r>
            <w:r>
              <w:rPr>
                <w:rFonts w:hint="eastAsia" w:ascii="宋体" w:hAnsi="宋体"/>
                <w:color w:val="auto"/>
                <w:kern w:val="0"/>
                <w:highlight w:val="none"/>
                <w:lang w:val="en-US" w:eastAsia="zh-CN"/>
              </w:rPr>
              <w:t>低依次</w:t>
            </w:r>
            <w:r>
              <w:rPr>
                <w:rFonts w:hint="eastAsia" w:ascii="宋体" w:hAnsi="宋体"/>
                <w:color w:val="auto"/>
                <w:kern w:val="0"/>
                <w:highlight w:val="none"/>
              </w:rPr>
              <w:t>推荐</w:t>
            </w:r>
            <w:r>
              <w:rPr>
                <w:rFonts w:hint="eastAsia" w:ascii="宋体" w:hAnsi="宋体"/>
                <w:color w:val="auto"/>
                <w:kern w:val="0"/>
                <w:highlight w:val="none"/>
                <w:lang w:eastAsia="zh-CN"/>
              </w:rPr>
              <w:t>中选</w:t>
            </w:r>
            <w:r>
              <w:rPr>
                <w:rFonts w:hint="eastAsia" w:ascii="宋体" w:hAnsi="宋体"/>
                <w:color w:val="auto"/>
                <w:kern w:val="0"/>
                <w:highlight w:val="none"/>
              </w:rPr>
              <w:t>候选人。若出现</w:t>
            </w:r>
            <w:r>
              <w:rPr>
                <w:rFonts w:hint="eastAsia" w:ascii="宋体" w:hAnsi="宋体"/>
                <w:color w:val="auto"/>
                <w:kern w:val="0"/>
                <w:highlight w:val="none"/>
                <w:lang w:val="en-US" w:eastAsia="zh-CN"/>
              </w:rPr>
              <w:t>第一中选人参选人</w:t>
            </w:r>
            <w:r>
              <w:rPr>
                <w:rFonts w:hint="eastAsia" w:ascii="宋体" w:hAnsi="宋体"/>
                <w:color w:val="auto"/>
                <w:kern w:val="0"/>
                <w:highlight w:val="none"/>
              </w:rPr>
              <w:t>报价相同的，由</w:t>
            </w:r>
            <w:r>
              <w:rPr>
                <w:rFonts w:hint="eastAsia" w:ascii="宋体" w:hAnsi="宋体"/>
                <w:color w:val="auto"/>
                <w:kern w:val="0"/>
                <w:highlight w:val="none"/>
                <w:lang w:eastAsia="zh-CN"/>
              </w:rPr>
              <w:t>公开比选委员会</w:t>
            </w:r>
            <w:r>
              <w:rPr>
                <w:rFonts w:hint="eastAsia" w:ascii="宋体" w:hAnsi="宋体"/>
                <w:color w:val="auto"/>
                <w:kern w:val="0"/>
                <w:highlight w:val="none"/>
                <w:lang w:val="en-US" w:eastAsia="zh-CN"/>
              </w:rPr>
              <w:t>组织报价最低的单位进行第二次的参选报价，直至出现唯一最低报价为止</w:t>
            </w:r>
            <w:r>
              <w:rPr>
                <w:rFonts w:hint="eastAsia" w:ascii="宋体" w:hAnsi="宋体"/>
                <w:color w:val="auto"/>
                <w:kern w:val="0"/>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kern w:val="0"/>
                <w:highlight w:val="none"/>
              </w:rPr>
            </w:pPr>
            <w:r>
              <w:rPr>
                <w:rFonts w:ascii="宋体" w:hAnsi="宋体"/>
                <w:color w:val="auto"/>
                <w:kern w:val="0"/>
                <w:highlight w:val="none"/>
              </w:rPr>
              <w:t>2.1.</w:t>
            </w:r>
            <w:r>
              <w:rPr>
                <w:rFonts w:hint="eastAsia" w:ascii="宋体" w:hAnsi="宋体"/>
                <w:color w:val="auto"/>
                <w:kern w:val="0"/>
                <w:highlight w:val="none"/>
              </w:rPr>
              <w:t>1</w:t>
            </w:r>
          </w:p>
        </w:tc>
        <w:tc>
          <w:tcPr>
            <w:tcW w:w="9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kern w:val="0"/>
                <w:highlight w:val="none"/>
              </w:rPr>
            </w:pPr>
            <w:r>
              <w:rPr>
                <w:rFonts w:ascii="宋体" w:hAnsi="宋体"/>
                <w:color w:val="auto"/>
                <w:kern w:val="0"/>
                <w:highlight w:val="none"/>
              </w:rPr>
              <w:t>资格评审标准</w:t>
            </w:r>
          </w:p>
        </w:tc>
        <w:tc>
          <w:tcPr>
            <w:tcW w:w="199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olor w:val="auto"/>
                <w:kern w:val="0"/>
                <w:highlight w:val="none"/>
              </w:rPr>
            </w:pPr>
            <w:r>
              <w:rPr>
                <w:rFonts w:hint="eastAsia" w:ascii="宋体" w:hAnsi="宋体"/>
                <w:color w:val="auto"/>
                <w:kern w:val="0"/>
                <w:highlight w:val="none"/>
              </w:rPr>
              <w:t>参选人资质条件、能力和信誉</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highlight w:val="none"/>
              </w:rPr>
            </w:pPr>
            <w:r>
              <w:rPr>
                <w:rFonts w:ascii="宋体" w:hAnsi="宋体"/>
                <w:color w:val="auto"/>
                <w:kern w:val="0"/>
                <w:highlight w:val="none"/>
              </w:rPr>
              <w:t>符合第二章“参选人须知”第</w:t>
            </w:r>
            <w:r>
              <w:rPr>
                <w:rFonts w:hint="eastAsia" w:ascii="宋体" w:hAnsi="宋体"/>
                <w:color w:val="auto"/>
                <w:kern w:val="0"/>
                <w:highlight w:val="none"/>
                <w:lang w:val="en-US" w:eastAsia="zh-CN"/>
              </w:rPr>
              <w:t>10</w:t>
            </w:r>
            <w:r>
              <w:rPr>
                <w:rFonts w:ascii="宋体" w:hAnsi="宋体"/>
                <w:color w:val="auto"/>
                <w:kern w:val="0"/>
                <w:highlight w:val="none"/>
              </w:rPr>
              <w:t>项规定。</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r>
              <w:rPr>
                <w:rFonts w:ascii="宋体" w:hAnsi="宋体"/>
                <w:color w:val="auto"/>
                <w:kern w:val="0"/>
                <w:highlight w:val="none"/>
              </w:rPr>
              <w:t>2.1.</w:t>
            </w:r>
            <w:r>
              <w:rPr>
                <w:rFonts w:hint="eastAsia" w:ascii="宋体" w:hAnsi="宋体"/>
                <w:color w:val="auto"/>
                <w:kern w:val="0"/>
                <w:highlight w:val="none"/>
              </w:rPr>
              <w:t>2</w:t>
            </w:r>
          </w:p>
        </w:tc>
        <w:tc>
          <w:tcPr>
            <w:tcW w:w="99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r>
              <w:rPr>
                <w:rFonts w:ascii="宋体" w:hAnsi="宋体"/>
                <w:color w:val="auto"/>
                <w:kern w:val="0"/>
                <w:highlight w:val="none"/>
              </w:rPr>
              <w:t>形式评审标准</w:t>
            </w:r>
          </w:p>
        </w:tc>
        <w:tc>
          <w:tcPr>
            <w:tcW w:w="199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olor w:val="auto"/>
                <w:kern w:val="0"/>
                <w:highlight w:val="none"/>
              </w:rPr>
            </w:pPr>
            <w:r>
              <w:rPr>
                <w:rFonts w:ascii="宋体" w:hAnsi="宋体"/>
                <w:color w:val="auto"/>
                <w:kern w:val="0"/>
                <w:highlight w:val="none"/>
              </w:rPr>
              <w:t>参选人名称</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highlight w:val="none"/>
              </w:rPr>
            </w:pPr>
            <w:r>
              <w:rPr>
                <w:rFonts w:ascii="宋体" w:hAnsi="宋体"/>
                <w:color w:val="auto"/>
                <w:kern w:val="0"/>
                <w:highlight w:val="none"/>
              </w:rPr>
              <w:t>与营业执照一致</w:t>
            </w:r>
            <w:r>
              <w:rPr>
                <w:rFonts w:hint="eastAsia" w:ascii="宋体" w:hAnsi="宋体"/>
                <w:color w:val="auto"/>
                <w:kern w:val="0"/>
                <w:highlight w:val="none"/>
              </w:rPr>
              <w:t>，依法变更名称的应提交相应证明材料</w:t>
            </w:r>
            <w:r>
              <w:rPr>
                <w:rFonts w:ascii="宋体" w:hAnsi="宋体"/>
                <w:color w:val="auto"/>
                <w:kern w:val="0"/>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99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199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olor w:val="auto"/>
                <w:kern w:val="0"/>
                <w:highlight w:val="none"/>
              </w:rPr>
            </w:pPr>
            <w:r>
              <w:rPr>
                <w:rFonts w:ascii="宋体" w:hAnsi="宋体"/>
                <w:color w:val="auto"/>
                <w:kern w:val="0"/>
                <w:highlight w:val="none"/>
              </w:rPr>
              <w:t>参选函签字盖章</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highlight w:val="none"/>
              </w:rPr>
            </w:pPr>
            <w:r>
              <w:rPr>
                <w:rFonts w:ascii="宋体" w:hAnsi="宋体"/>
                <w:color w:val="auto"/>
                <w:kern w:val="0"/>
                <w:highlight w:val="none"/>
              </w:rPr>
              <w:t>参选函格式规定签字</w:t>
            </w:r>
            <w:r>
              <w:rPr>
                <w:rFonts w:hint="eastAsia" w:ascii="宋体" w:hAnsi="宋体"/>
                <w:color w:val="auto"/>
                <w:kern w:val="0"/>
                <w:highlight w:val="none"/>
              </w:rPr>
              <w:t>、</w:t>
            </w:r>
            <w:r>
              <w:rPr>
                <w:rFonts w:ascii="宋体" w:hAnsi="宋体"/>
                <w:color w:val="auto"/>
                <w:kern w:val="0"/>
                <w:highlight w:val="none"/>
              </w:rPr>
              <w:t>盖章的位置有法定代表人或其委托代理人签字（或盖章）、加盖单位公章。</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99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199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olor w:val="auto"/>
                <w:kern w:val="0"/>
                <w:highlight w:val="none"/>
              </w:rPr>
            </w:pPr>
            <w:r>
              <w:rPr>
                <w:rFonts w:ascii="宋体" w:hAnsi="宋体"/>
                <w:color w:val="auto"/>
                <w:kern w:val="0"/>
                <w:highlight w:val="none"/>
              </w:rPr>
              <w:t>参选文件格式</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highlight w:val="none"/>
              </w:rPr>
            </w:pPr>
            <w:r>
              <w:rPr>
                <w:rFonts w:ascii="宋体" w:hAnsi="宋体"/>
                <w:color w:val="auto"/>
                <w:kern w:val="0"/>
                <w:highlight w:val="none"/>
              </w:rPr>
              <w:t>符合</w:t>
            </w:r>
            <w:r>
              <w:rPr>
                <w:rFonts w:hint="eastAsia" w:ascii="宋体" w:hAnsi="宋体"/>
                <w:color w:val="auto"/>
                <w:kern w:val="0"/>
                <w:highlight w:val="none"/>
              </w:rPr>
              <w:t>第二</w:t>
            </w:r>
            <w:r>
              <w:rPr>
                <w:rFonts w:ascii="宋体" w:hAnsi="宋体"/>
                <w:color w:val="auto"/>
                <w:kern w:val="0"/>
                <w:highlight w:val="none"/>
              </w:rPr>
              <w:t>章“</w:t>
            </w:r>
            <w:r>
              <w:rPr>
                <w:rFonts w:hint="eastAsia" w:ascii="宋体" w:hAnsi="宋体"/>
                <w:color w:val="auto"/>
                <w:kern w:val="0"/>
                <w:highlight w:val="none"/>
              </w:rPr>
              <w:t>参选人须知</w:t>
            </w:r>
            <w:r>
              <w:rPr>
                <w:rFonts w:ascii="宋体" w:hAnsi="宋体"/>
                <w:color w:val="auto"/>
                <w:kern w:val="0"/>
                <w:highlight w:val="none"/>
              </w:rPr>
              <w:t>”</w:t>
            </w:r>
            <w:r>
              <w:rPr>
                <w:rFonts w:hint="eastAsia" w:ascii="宋体" w:hAnsi="宋体"/>
                <w:color w:val="auto"/>
                <w:kern w:val="0"/>
                <w:highlight w:val="none"/>
              </w:rPr>
              <w:t>第</w:t>
            </w:r>
            <w:r>
              <w:rPr>
                <w:rFonts w:hint="eastAsia" w:ascii="宋体" w:hAnsi="宋体"/>
                <w:color w:val="auto"/>
                <w:kern w:val="0"/>
                <w:highlight w:val="none"/>
                <w:lang w:val="en-US" w:eastAsia="zh-CN"/>
              </w:rPr>
              <w:t>21项</w:t>
            </w:r>
            <w:r>
              <w:rPr>
                <w:rFonts w:ascii="宋体" w:hAnsi="宋体"/>
                <w:color w:val="auto"/>
                <w:kern w:val="0"/>
                <w:highlight w:val="none"/>
              </w:rPr>
              <w:t>的要求。</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99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199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olor w:val="auto"/>
                <w:kern w:val="0"/>
                <w:highlight w:val="none"/>
              </w:rPr>
            </w:pPr>
            <w:r>
              <w:rPr>
                <w:rFonts w:hint="eastAsia" w:ascii="宋体" w:hAnsi="宋体"/>
                <w:color w:val="auto"/>
                <w:kern w:val="0"/>
                <w:highlight w:val="none"/>
              </w:rPr>
              <w:t>参选文件份数</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highlight w:val="none"/>
              </w:rPr>
            </w:pPr>
            <w:r>
              <w:rPr>
                <w:rFonts w:hint="eastAsia" w:ascii="宋体" w:hAnsi="宋体"/>
                <w:color w:val="auto"/>
                <w:kern w:val="0"/>
                <w:highlight w:val="none"/>
              </w:rPr>
              <w:t>符合第二章“参选人须知”第</w:t>
            </w:r>
            <w:r>
              <w:rPr>
                <w:rFonts w:hint="eastAsia" w:ascii="宋体" w:hAnsi="宋体"/>
                <w:color w:val="auto"/>
                <w:kern w:val="0"/>
                <w:highlight w:val="none"/>
                <w:lang w:val="en-US" w:eastAsia="zh-CN"/>
              </w:rPr>
              <w:t>22</w:t>
            </w:r>
            <w:r>
              <w:rPr>
                <w:rFonts w:hint="eastAsia" w:ascii="宋体" w:hAnsi="宋体"/>
                <w:color w:val="auto"/>
                <w:kern w:val="0"/>
                <w:highlight w:val="none"/>
              </w:rPr>
              <w:t>项规定。</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99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199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olor w:val="auto"/>
                <w:kern w:val="0"/>
                <w:highlight w:val="none"/>
              </w:rPr>
            </w:pPr>
            <w:r>
              <w:rPr>
                <w:rFonts w:ascii="宋体" w:hAnsi="宋体"/>
                <w:color w:val="auto"/>
                <w:kern w:val="0"/>
                <w:highlight w:val="none"/>
              </w:rPr>
              <w:t>报价唯一</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highlight w:val="none"/>
              </w:rPr>
            </w:pPr>
            <w:r>
              <w:rPr>
                <w:rFonts w:ascii="宋体" w:hAnsi="宋体"/>
                <w:color w:val="auto"/>
                <w:kern w:val="0"/>
                <w:highlight w:val="none"/>
              </w:rPr>
              <w:t>只能有一个有效报价，在比选文件没有规定的情况下，不得提交选择性报价。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99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199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olor w:val="auto"/>
                <w:kern w:val="0"/>
                <w:highlight w:val="none"/>
              </w:rPr>
            </w:pPr>
            <w:r>
              <w:rPr>
                <w:rFonts w:ascii="宋体" w:hAnsi="宋体"/>
                <w:color w:val="auto"/>
                <w:kern w:val="0"/>
                <w:highlight w:val="none"/>
              </w:rPr>
              <w:t>参选文件的签署</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highlight w:val="none"/>
              </w:rPr>
            </w:pPr>
            <w:r>
              <w:rPr>
                <w:rFonts w:hint="eastAsia" w:ascii="宋体" w:hAnsi="宋体"/>
                <w:color w:val="auto"/>
                <w:kern w:val="0"/>
                <w:highlight w:val="none"/>
              </w:rPr>
              <w:t xml:space="preserve">第六章 </w:t>
            </w:r>
            <w:r>
              <w:rPr>
                <w:rFonts w:ascii="宋体" w:hAnsi="宋体"/>
                <w:color w:val="auto"/>
                <w:kern w:val="0"/>
                <w:highlight w:val="none"/>
              </w:rPr>
              <w:t>参选文件</w:t>
            </w:r>
            <w:r>
              <w:rPr>
                <w:rFonts w:hint="eastAsia" w:ascii="宋体" w:hAnsi="宋体"/>
                <w:color w:val="auto"/>
                <w:kern w:val="0"/>
                <w:highlight w:val="none"/>
              </w:rPr>
              <w:t>格式要求</w:t>
            </w:r>
            <w:r>
              <w:rPr>
                <w:rFonts w:ascii="宋体" w:hAnsi="宋体"/>
                <w:color w:val="auto"/>
                <w:kern w:val="0"/>
                <w:highlight w:val="none"/>
              </w:rPr>
              <w:t>法定代表人或其委托代理人签字（或盖章）</w:t>
            </w:r>
            <w:r>
              <w:rPr>
                <w:rFonts w:hint="eastAsia" w:ascii="宋体" w:hAnsi="宋体"/>
                <w:color w:val="auto"/>
                <w:kern w:val="0"/>
                <w:highlight w:val="none"/>
              </w:rPr>
              <w:t>的须</w:t>
            </w:r>
            <w:r>
              <w:rPr>
                <w:rFonts w:ascii="宋体" w:hAnsi="宋体"/>
                <w:color w:val="auto"/>
                <w:kern w:val="0"/>
                <w:highlight w:val="none"/>
              </w:rPr>
              <w:t>齐全。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r>
              <w:rPr>
                <w:rFonts w:ascii="宋体" w:hAnsi="宋体"/>
                <w:color w:val="auto"/>
                <w:kern w:val="0"/>
                <w:highlight w:val="none"/>
              </w:rPr>
              <w:t>2.1.3</w:t>
            </w:r>
          </w:p>
        </w:tc>
        <w:tc>
          <w:tcPr>
            <w:tcW w:w="99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r>
              <w:rPr>
                <w:rFonts w:ascii="宋体" w:hAnsi="宋体"/>
                <w:color w:val="auto"/>
                <w:kern w:val="0"/>
                <w:highlight w:val="none"/>
              </w:rPr>
              <w:t>响应性评审标准</w:t>
            </w:r>
          </w:p>
        </w:tc>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olor w:val="auto"/>
                <w:kern w:val="0"/>
                <w:highlight w:val="none"/>
              </w:rPr>
            </w:pPr>
            <w:r>
              <w:rPr>
                <w:rFonts w:ascii="宋体" w:hAnsi="宋体"/>
                <w:color w:val="auto"/>
                <w:kern w:val="0"/>
                <w:highlight w:val="none"/>
              </w:rPr>
              <w:t>参选报价</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highlight w:val="none"/>
              </w:rPr>
            </w:pPr>
            <w:r>
              <w:rPr>
                <w:rFonts w:ascii="宋体" w:hAnsi="宋体"/>
                <w:color w:val="auto"/>
                <w:kern w:val="0"/>
                <w:highlight w:val="none"/>
              </w:rPr>
              <w:t>参选报价不得高于比选人公布的参选报价最高限价</w:t>
            </w:r>
            <w:r>
              <w:rPr>
                <w:rFonts w:hint="eastAsia" w:ascii="宋体" w:hAnsi="宋体"/>
                <w:color w:val="auto"/>
                <w:kern w:val="0"/>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kern w:val="0"/>
                <w:highlight w:val="none"/>
              </w:rPr>
            </w:pPr>
          </w:p>
        </w:tc>
        <w:tc>
          <w:tcPr>
            <w:tcW w:w="992"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kern w:val="0"/>
                <w:highlight w:val="none"/>
              </w:rPr>
            </w:pPr>
          </w:p>
        </w:tc>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olor w:val="auto"/>
                <w:kern w:val="0"/>
                <w:highlight w:val="none"/>
              </w:rPr>
            </w:pPr>
            <w:r>
              <w:rPr>
                <w:rFonts w:ascii="宋体" w:hAnsi="宋体"/>
                <w:color w:val="auto"/>
                <w:kern w:val="0"/>
                <w:highlight w:val="none"/>
              </w:rPr>
              <w:t>参选内容</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宋体" w:hAnsi="宋体"/>
                <w:color w:val="auto"/>
                <w:kern w:val="0"/>
                <w:highlight w:val="none"/>
              </w:rPr>
            </w:pPr>
            <w:r>
              <w:rPr>
                <w:rFonts w:ascii="宋体" w:hAnsi="宋体"/>
                <w:color w:val="auto"/>
                <w:kern w:val="0"/>
                <w:highlight w:val="none"/>
              </w:rPr>
              <w:t>符合第二章“参选人须知”第</w:t>
            </w:r>
            <w:r>
              <w:rPr>
                <w:rFonts w:hint="eastAsia" w:ascii="宋体" w:hAnsi="宋体"/>
                <w:color w:val="auto"/>
                <w:kern w:val="0"/>
                <w:highlight w:val="none"/>
                <w:lang w:val="en-US" w:eastAsia="zh-CN"/>
              </w:rPr>
              <w:t>7</w:t>
            </w:r>
            <w:r>
              <w:rPr>
                <w:rFonts w:ascii="宋体" w:hAnsi="宋体"/>
                <w:color w:val="auto"/>
                <w:kern w:val="0"/>
                <w:highlight w:val="none"/>
              </w:rPr>
              <w:t>项规定</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p>
        </w:tc>
        <w:tc>
          <w:tcPr>
            <w:tcW w:w="99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p>
        </w:tc>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eastAsia="宋体"/>
                <w:color w:val="auto"/>
                <w:kern w:val="0"/>
                <w:highlight w:val="none"/>
                <w:lang w:val="en-US" w:eastAsia="zh-CN"/>
              </w:rPr>
            </w:pPr>
            <w:r>
              <w:rPr>
                <w:rFonts w:hint="eastAsia" w:ascii="宋体" w:hAnsi="宋体"/>
                <w:color w:val="auto"/>
                <w:kern w:val="0"/>
                <w:highlight w:val="none"/>
                <w:lang w:val="en-US" w:eastAsia="zh-CN"/>
              </w:rPr>
              <w:t>时间要求</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宋体" w:hAnsi="宋体"/>
                <w:color w:val="auto"/>
                <w:kern w:val="0"/>
                <w:highlight w:val="none"/>
              </w:rPr>
            </w:pPr>
            <w:r>
              <w:rPr>
                <w:rFonts w:ascii="宋体" w:hAnsi="宋体"/>
                <w:color w:val="auto"/>
                <w:kern w:val="0"/>
                <w:highlight w:val="none"/>
              </w:rPr>
              <w:t>符合第二章“参选人须知”第</w:t>
            </w:r>
            <w:r>
              <w:rPr>
                <w:rFonts w:hint="eastAsia" w:ascii="宋体" w:hAnsi="宋体"/>
                <w:color w:val="auto"/>
                <w:kern w:val="0"/>
                <w:highlight w:val="none"/>
                <w:lang w:val="en-US" w:eastAsia="zh-CN"/>
              </w:rPr>
              <w:t>8</w:t>
            </w:r>
            <w:r>
              <w:rPr>
                <w:rFonts w:ascii="宋体" w:hAnsi="宋体"/>
                <w:color w:val="auto"/>
                <w:kern w:val="0"/>
                <w:highlight w:val="none"/>
              </w:rPr>
              <w:t>项规定</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p>
        </w:tc>
        <w:tc>
          <w:tcPr>
            <w:tcW w:w="99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p>
        </w:tc>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kern w:val="0"/>
                <w:highlight w:val="none"/>
                <w:lang w:val="en-US" w:eastAsia="zh-CN"/>
              </w:rPr>
            </w:pPr>
            <w:r>
              <w:rPr>
                <w:rFonts w:ascii="宋体" w:hAnsi="宋体"/>
                <w:color w:val="auto"/>
                <w:kern w:val="0"/>
                <w:highlight w:val="none"/>
              </w:rPr>
              <w:t>质量</w:t>
            </w:r>
            <w:r>
              <w:rPr>
                <w:rFonts w:hint="eastAsia" w:ascii="宋体" w:hAnsi="宋体"/>
                <w:color w:val="auto"/>
                <w:kern w:val="0"/>
                <w:highlight w:val="none"/>
                <w:lang w:val="en-US" w:eastAsia="zh-CN"/>
              </w:rPr>
              <w:t>要求</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宋体" w:hAnsi="宋体"/>
                <w:color w:val="auto"/>
                <w:kern w:val="0"/>
                <w:highlight w:val="none"/>
              </w:rPr>
            </w:pPr>
            <w:r>
              <w:rPr>
                <w:rFonts w:ascii="宋体" w:hAnsi="宋体"/>
                <w:color w:val="auto"/>
                <w:kern w:val="0"/>
                <w:highlight w:val="none"/>
              </w:rPr>
              <w:t>符合第二章“参选人须知”第</w:t>
            </w:r>
            <w:r>
              <w:rPr>
                <w:rFonts w:hint="eastAsia" w:ascii="宋体" w:hAnsi="宋体"/>
                <w:color w:val="auto"/>
                <w:kern w:val="0"/>
                <w:highlight w:val="none"/>
                <w:lang w:val="en-US" w:eastAsia="zh-CN"/>
              </w:rPr>
              <w:t>9</w:t>
            </w:r>
            <w:r>
              <w:rPr>
                <w:rFonts w:ascii="宋体" w:hAnsi="宋体"/>
                <w:color w:val="auto"/>
                <w:kern w:val="0"/>
                <w:highlight w:val="none"/>
              </w:rPr>
              <w:t>项规定</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p>
        </w:tc>
        <w:tc>
          <w:tcPr>
            <w:tcW w:w="99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p>
        </w:tc>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olor w:val="auto"/>
                <w:kern w:val="0"/>
                <w:highlight w:val="none"/>
              </w:rPr>
            </w:pPr>
            <w:r>
              <w:rPr>
                <w:rFonts w:ascii="宋体" w:hAnsi="宋体"/>
                <w:color w:val="auto"/>
                <w:kern w:val="0"/>
                <w:highlight w:val="none"/>
              </w:rPr>
              <w:t>参选有效期</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宋体" w:hAnsi="宋体"/>
                <w:color w:val="auto"/>
                <w:kern w:val="0"/>
                <w:highlight w:val="none"/>
              </w:rPr>
            </w:pPr>
            <w:r>
              <w:rPr>
                <w:rFonts w:ascii="宋体" w:hAnsi="宋体"/>
                <w:color w:val="auto"/>
                <w:kern w:val="0"/>
                <w:highlight w:val="none"/>
              </w:rPr>
              <w:t>符合第二章“参选人须知”第</w:t>
            </w:r>
            <w:r>
              <w:rPr>
                <w:rFonts w:hint="eastAsia" w:ascii="宋体" w:hAnsi="宋体"/>
                <w:color w:val="auto"/>
                <w:kern w:val="0"/>
                <w:highlight w:val="none"/>
                <w:lang w:val="en-US" w:eastAsia="zh-CN"/>
              </w:rPr>
              <w:t>19</w:t>
            </w:r>
            <w:r>
              <w:rPr>
                <w:rFonts w:ascii="宋体" w:hAnsi="宋体"/>
                <w:color w:val="auto"/>
                <w:kern w:val="0"/>
                <w:highlight w:val="none"/>
              </w:rPr>
              <w:t>项规定</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p>
        </w:tc>
        <w:tc>
          <w:tcPr>
            <w:tcW w:w="99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p>
        </w:tc>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olor w:val="auto"/>
                <w:kern w:val="0"/>
                <w:highlight w:val="none"/>
              </w:rPr>
            </w:pPr>
            <w:r>
              <w:rPr>
                <w:rFonts w:ascii="宋体" w:hAnsi="宋体"/>
                <w:color w:val="auto"/>
                <w:kern w:val="0"/>
                <w:highlight w:val="none"/>
              </w:rPr>
              <w:t>权利义务</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highlight w:val="none"/>
              </w:rPr>
            </w:pPr>
            <w:r>
              <w:rPr>
                <w:rFonts w:ascii="宋体" w:hAnsi="宋体"/>
                <w:color w:val="auto"/>
                <w:kern w:val="0"/>
                <w:highlight w:val="none"/>
              </w:rPr>
              <w:t>符合第四章“</w:t>
            </w:r>
            <w:r>
              <w:rPr>
                <w:rFonts w:hint="eastAsia" w:ascii="宋体" w:hAnsi="宋体"/>
                <w:color w:val="auto"/>
                <w:kern w:val="0"/>
                <w:highlight w:val="none"/>
              </w:rPr>
              <w:t>合同主要条款</w:t>
            </w:r>
            <w:r>
              <w:rPr>
                <w:rFonts w:ascii="宋体" w:hAnsi="宋体"/>
                <w:color w:val="auto"/>
                <w:kern w:val="0"/>
                <w:highlight w:val="none"/>
              </w:rPr>
              <w:t>”规定，参选文件不应附有比选人不能接受的条件。</w:t>
            </w:r>
            <w:r>
              <w:rPr>
                <w:rFonts w:hint="eastAsia" w:ascii="宋体" w:hAnsi="宋体" w:cs="宋体"/>
                <w:color w:val="auto"/>
                <w:kern w:val="0"/>
                <w:highlight w:val="none"/>
              </w:rPr>
              <w:t>（由参选人承诺，承诺书格式自拟。）</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99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olor w:val="auto"/>
                <w:kern w:val="0"/>
                <w:highlight w:val="none"/>
              </w:rPr>
            </w:pPr>
            <w:r>
              <w:rPr>
                <w:rFonts w:ascii="宋体" w:hAnsi="宋体"/>
                <w:color w:val="auto"/>
                <w:kern w:val="0"/>
                <w:highlight w:val="none"/>
              </w:rPr>
              <w:t>参选报价算术错误修正</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highlight w:val="none"/>
              </w:rPr>
            </w:pPr>
            <w:r>
              <w:rPr>
                <w:rFonts w:ascii="宋体" w:hAnsi="宋体"/>
                <w:color w:val="auto"/>
                <w:kern w:val="0"/>
                <w:highlight w:val="none"/>
              </w:rPr>
              <w:t>符合第三章3.</w:t>
            </w:r>
            <w:r>
              <w:rPr>
                <w:rFonts w:hint="eastAsia" w:ascii="宋体" w:hAnsi="宋体"/>
                <w:color w:val="auto"/>
                <w:kern w:val="0"/>
                <w:highlight w:val="none"/>
                <w:lang w:val="en-US" w:eastAsia="zh-CN"/>
              </w:rPr>
              <w:t>2</w:t>
            </w:r>
            <w:r>
              <w:rPr>
                <w:rFonts w:ascii="宋体" w:hAnsi="宋体"/>
                <w:color w:val="auto"/>
                <w:kern w:val="0"/>
                <w:highlight w:val="none"/>
              </w:rPr>
              <w:t>.3项规定</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99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p>
        </w:tc>
        <w:tc>
          <w:tcPr>
            <w:tcW w:w="199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olor w:val="auto"/>
                <w:kern w:val="0"/>
                <w:highlight w:val="none"/>
              </w:rPr>
            </w:pPr>
            <w:r>
              <w:rPr>
                <w:rFonts w:ascii="宋体" w:hAnsi="宋体"/>
                <w:color w:val="auto"/>
                <w:kern w:val="0"/>
                <w:highlight w:val="none"/>
              </w:rPr>
              <w:t>实质性要求</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highlight w:val="none"/>
              </w:rPr>
            </w:pPr>
            <w:r>
              <w:rPr>
                <w:rFonts w:hint="eastAsia" w:ascii="宋体" w:hAnsi="宋体"/>
                <w:color w:val="auto"/>
                <w:kern w:val="0"/>
                <w:highlight w:val="none"/>
              </w:rPr>
              <w:t>本次参选不得有串通参选</w:t>
            </w:r>
            <w:r>
              <w:rPr>
                <w:rFonts w:ascii="宋体" w:hAnsi="宋体"/>
                <w:color w:val="auto"/>
                <w:kern w:val="0"/>
                <w:highlight w:val="none"/>
              </w:rPr>
              <w:t>、弄虚作假等其他违反招参选相关法律、法规行为。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highlight w:val="none"/>
              </w:rPr>
            </w:pPr>
            <w:r>
              <w:rPr>
                <w:rFonts w:hint="eastAsia" w:ascii="宋体" w:hAnsi="宋体" w:cs="宋体"/>
                <w:color w:val="auto"/>
                <w:kern w:val="0"/>
                <w:highlight w:val="none"/>
              </w:rPr>
              <w:t>按公开比选委员会要求澄清、说明或补正。</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98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210" w:firstLineChars="100"/>
              <w:jc w:val="center"/>
              <w:textAlignment w:val="auto"/>
              <w:rPr>
                <w:rFonts w:ascii="宋体" w:hAnsi="宋体"/>
                <w:color w:val="auto"/>
                <w:kern w:val="0"/>
                <w:highlight w:val="none"/>
              </w:rPr>
            </w:pPr>
            <w:r>
              <w:rPr>
                <w:rFonts w:ascii="宋体" w:hAnsi="宋体"/>
                <w:color w:val="auto"/>
                <w:kern w:val="0"/>
                <w:highlight w:val="none"/>
              </w:rPr>
              <w:t>2.2.1</w:t>
            </w:r>
          </w:p>
        </w:tc>
        <w:tc>
          <w:tcPr>
            <w:tcW w:w="1991" w:type="dxa"/>
            <w:noWrap w:val="0"/>
            <w:vAlign w:val="center"/>
          </w:tcPr>
          <w:p>
            <w:pPr>
              <w:keepNext w:val="0"/>
              <w:keepLines w:val="0"/>
              <w:pageBreakBefore w:val="0"/>
              <w:widowControl w:val="0"/>
              <w:tabs>
                <w:tab w:val="left" w:pos="1875"/>
              </w:tabs>
              <w:kinsoku/>
              <w:wordWrap/>
              <w:overflowPunct/>
              <w:topLinePunct w:val="0"/>
              <w:autoSpaceDE/>
              <w:autoSpaceDN/>
              <w:bidi w:val="0"/>
              <w:adjustRightInd/>
              <w:snapToGrid/>
              <w:spacing w:line="400" w:lineRule="exact"/>
              <w:jc w:val="center"/>
              <w:textAlignment w:val="auto"/>
              <w:rPr>
                <w:rFonts w:ascii="宋体" w:hAnsi="宋体"/>
                <w:color w:val="auto"/>
                <w:kern w:val="0"/>
                <w:highlight w:val="none"/>
              </w:rPr>
            </w:pPr>
            <w:r>
              <w:rPr>
                <w:rFonts w:ascii="宋体" w:hAnsi="宋体"/>
                <w:color w:val="auto"/>
                <w:kern w:val="0"/>
                <w:highlight w:val="none"/>
              </w:rPr>
              <w:t>分值构成 （总分1</w:t>
            </w:r>
            <w:r>
              <w:rPr>
                <w:rFonts w:hint="eastAsia" w:ascii="宋体" w:hAnsi="宋体"/>
                <w:color w:val="auto"/>
                <w:kern w:val="0"/>
                <w:highlight w:val="none"/>
              </w:rPr>
              <w:t>00</w:t>
            </w:r>
            <w:r>
              <w:rPr>
                <w:rFonts w:ascii="宋体" w:hAnsi="宋体"/>
                <w:color w:val="auto"/>
                <w:kern w:val="0"/>
                <w:highlight w:val="none"/>
              </w:rPr>
              <w:t>分）</w:t>
            </w:r>
          </w:p>
        </w:tc>
        <w:tc>
          <w:tcPr>
            <w:tcW w:w="549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highlight w:val="none"/>
              </w:rPr>
            </w:pPr>
            <w:r>
              <w:rPr>
                <w:rFonts w:ascii="宋体" w:hAnsi="宋体"/>
                <w:color w:val="auto"/>
                <w:kern w:val="0"/>
                <w:highlight w:val="none"/>
              </w:rPr>
              <w:t>参选</w:t>
            </w:r>
            <w:r>
              <w:rPr>
                <w:rFonts w:hint="eastAsia" w:ascii="宋体" w:hAnsi="宋体"/>
                <w:color w:val="auto"/>
                <w:kern w:val="0"/>
                <w:highlight w:val="none"/>
              </w:rPr>
              <w:t>报价</w:t>
            </w:r>
            <w:r>
              <w:rPr>
                <w:rFonts w:hint="eastAsia" w:ascii="宋体" w:hAnsi="宋体"/>
                <w:color w:val="auto"/>
                <w:kern w:val="0"/>
                <w:highlight w:val="none"/>
                <w:lang w:val="en-US" w:eastAsia="zh-CN"/>
              </w:rPr>
              <w:t>100</w:t>
            </w:r>
            <w:r>
              <w:rPr>
                <w:rFonts w:hint="eastAsia" w:ascii="宋体" w:hAnsi="宋体"/>
                <w:color w:val="auto"/>
                <w:kern w:val="0"/>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99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kern w:val="0"/>
                <w:highlight w:val="none"/>
              </w:rPr>
            </w:pPr>
            <w:r>
              <w:rPr>
                <w:rFonts w:ascii="宋体" w:hAnsi="宋体"/>
                <w:color w:val="auto"/>
                <w:highlight w:val="none"/>
              </w:rPr>
              <w:t>3</w:t>
            </w:r>
          </w:p>
        </w:tc>
        <w:tc>
          <w:tcPr>
            <w:tcW w:w="9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r>
              <w:rPr>
                <w:rFonts w:ascii="宋体" w:hAnsi="宋体"/>
                <w:color w:val="auto"/>
                <w:highlight w:val="none"/>
              </w:rPr>
              <w:t>评标</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kern w:val="0"/>
                <w:highlight w:val="none"/>
              </w:rPr>
            </w:pPr>
            <w:r>
              <w:rPr>
                <w:rFonts w:ascii="宋体" w:hAnsi="宋体"/>
                <w:color w:val="auto"/>
                <w:highlight w:val="none"/>
              </w:rPr>
              <w:t>程序</w:t>
            </w:r>
          </w:p>
        </w:tc>
        <w:tc>
          <w:tcPr>
            <w:tcW w:w="748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1.按本章评标办法第</w:t>
            </w:r>
            <w:r>
              <w:rPr>
                <w:rFonts w:hint="eastAsia" w:ascii="宋体" w:hAnsi="宋体"/>
                <w:color w:val="auto"/>
                <w:szCs w:val="21"/>
                <w:highlight w:val="none"/>
                <w:lang w:val="en-US" w:eastAsia="zh-CN"/>
              </w:rPr>
              <w:t>2.1</w:t>
            </w:r>
            <w:r>
              <w:rPr>
                <w:rFonts w:hint="eastAsia" w:ascii="宋体" w:hAnsi="宋体"/>
                <w:color w:val="auto"/>
                <w:szCs w:val="21"/>
                <w:highlight w:val="none"/>
              </w:rPr>
              <w:t>.1</w:t>
            </w:r>
            <w:r>
              <w:rPr>
                <w:rFonts w:hint="eastAsia" w:ascii="宋体" w:hAnsi="宋体"/>
                <w:color w:val="auto"/>
                <w:szCs w:val="21"/>
                <w:highlight w:val="none"/>
                <w:lang w:val="en-US" w:eastAsia="zh-CN"/>
              </w:rPr>
              <w:t>-2.1.3</w:t>
            </w:r>
            <w:r>
              <w:rPr>
                <w:rFonts w:hint="eastAsia" w:ascii="宋体" w:hAnsi="宋体"/>
                <w:color w:val="auto"/>
                <w:szCs w:val="21"/>
                <w:highlight w:val="none"/>
              </w:rPr>
              <w:t>款进行初步评审。未通过初步评审或公开比选委员会认定为无效的参选文件的不再进行后续评审。</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2.对初步评审合格的参选人按照本附表第3.</w:t>
            </w:r>
            <w:r>
              <w:rPr>
                <w:rFonts w:hint="eastAsia" w:ascii="宋体" w:hAnsi="宋体"/>
                <w:color w:val="auto"/>
                <w:szCs w:val="21"/>
                <w:highlight w:val="none"/>
                <w:lang w:val="en-US" w:eastAsia="zh-CN"/>
              </w:rPr>
              <w:t>1</w:t>
            </w:r>
            <w:r>
              <w:rPr>
                <w:rFonts w:hint="eastAsia" w:ascii="宋体" w:hAnsi="宋体"/>
                <w:color w:val="auto"/>
                <w:szCs w:val="21"/>
                <w:highlight w:val="none"/>
              </w:rPr>
              <w:t>规定的评分方法对参选报价进行评分。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lang w:val="en-US" w:eastAsia="zh-CN"/>
              </w:rPr>
              <w:t>按照报价</w:t>
            </w:r>
            <w:r>
              <w:rPr>
                <w:rFonts w:hint="eastAsia" w:ascii="宋体" w:hAnsi="宋体"/>
                <w:color w:val="auto"/>
                <w:szCs w:val="21"/>
                <w:highlight w:val="none"/>
              </w:rPr>
              <w:t>得分由高至低前三名参选人为中选候选人。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.有效参选人不足三个的，但是有效参选人的</w:t>
            </w:r>
            <w:r>
              <w:rPr>
                <w:rFonts w:hint="eastAsia" w:ascii="宋体" w:hAnsi="宋体"/>
                <w:color w:val="auto"/>
                <w:szCs w:val="21"/>
                <w:highlight w:val="none"/>
                <w:lang w:val="en-US" w:eastAsia="zh-CN"/>
              </w:rPr>
              <w:t>报价</w:t>
            </w:r>
            <w:r>
              <w:rPr>
                <w:rFonts w:hint="eastAsia" w:ascii="宋体" w:hAnsi="宋体"/>
                <w:color w:val="auto"/>
                <w:szCs w:val="21"/>
                <w:highlight w:val="none"/>
              </w:rPr>
              <w:t>仍然具有市场竞争力，并满足比选文件要求的，公开比选委员会可继续评标并确定中选候选人。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88" w:hRule="atLeast"/>
          <w:jc w:val="center"/>
        </w:trPr>
        <w:tc>
          <w:tcPr>
            <w:tcW w:w="99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3.1</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olor w:val="auto"/>
                <w:highlight w:val="none"/>
                <w:lang w:val="en-US" w:eastAsia="zh-CN"/>
              </w:rPr>
            </w:pPr>
          </w:p>
        </w:tc>
        <w:tc>
          <w:tcPr>
            <w:tcW w:w="9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olor w:val="auto"/>
                <w:highlight w:val="none"/>
                <w:lang w:val="en-US" w:eastAsia="zh-CN"/>
              </w:rPr>
            </w:pPr>
            <w:r>
              <w:rPr>
                <w:rFonts w:hint="eastAsia" w:ascii="宋体" w:hAnsi="宋体"/>
                <w:color w:val="auto"/>
                <w:highlight w:val="none"/>
                <w:lang w:val="en-US" w:eastAsia="zh-CN"/>
              </w:rPr>
              <w:t>参选报价得分</w:t>
            </w:r>
          </w:p>
        </w:tc>
        <w:tc>
          <w:tcPr>
            <w:tcW w:w="1991"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highlight w:val="none"/>
              </w:rPr>
            </w:pPr>
            <w:r>
              <w:rPr>
                <w:rFonts w:hint="eastAsia" w:ascii="宋体" w:hAnsi="宋体"/>
                <w:color w:val="auto"/>
                <w:highlight w:val="none"/>
                <w:lang w:val="en-US" w:eastAsia="zh-CN"/>
              </w:rPr>
              <w:t>执行</w:t>
            </w:r>
            <w:r>
              <w:rPr>
                <w:rFonts w:hint="eastAsia" w:ascii="宋体" w:hAnsi="宋体"/>
                <w:color w:val="auto"/>
                <w:highlight w:val="none"/>
              </w:rPr>
              <w:t>报价（</w:t>
            </w:r>
            <w:r>
              <w:rPr>
                <w:rFonts w:hint="eastAsia" w:ascii="宋体" w:hAnsi="宋体"/>
                <w:color w:val="auto"/>
                <w:highlight w:val="none"/>
                <w:lang w:val="en-US" w:eastAsia="zh-CN"/>
              </w:rPr>
              <w:t>100</w:t>
            </w:r>
            <w:r>
              <w:rPr>
                <w:rFonts w:hint="eastAsia" w:ascii="宋体" w:hAnsi="宋体"/>
                <w:color w:val="auto"/>
                <w:highlight w:val="none"/>
              </w:rPr>
              <w:t>分）</w:t>
            </w:r>
          </w:p>
        </w:tc>
        <w:tc>
          <w:tcPr>
            <w:tcW w:w="5493"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kern w:val="0"/>
                <w:szCs w:val="21"/>
                <w:highlight w:val="none"/>
              </w:rPr>
            </w:pPr>
            <w:r>
              <w:rPr>
                <w:rFonts w:hint="eastAsia" w:ascii="宋体" w:hAnsi="宋体"/>
                <w:color w:val="auto"/>
                <w:kern w:val="0"/>
                <w:szCs w:val="21"/>
                <w:highlight w:val="none"/>
              </w:rPr>
              <w:t>有效参选报价：参选人的</w:t>
            </w:r>
            <w:r>
              <w:rPr>
                <w:rFonts w:hint="eastAsia" w:ascii="宋体" w:hAnsi="宋体"/>
                <w:color w:val="auto"/>
                <w:kern w:val="0"/>
                <w:szCs w:val="21"/>
                <w:highlight w:val="none"/>
                <w:lang w:val="en-US" w:eastAsia="zh-CN"/>
              </w:rPr>
              <w:t>报价低于最高限价</w:t>
            </w:r>
            <w:r>
              <w:rPr>
                <w:rFonts w:hint="eastAsia" w:ascii="宋体" w:hAnsi="宋体"/>
                <w:color w:val="auto"/>
                <w:kern w:val="0"/>
                <w:szCs w:val="21"/>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Times New Roman"/>
                <w:b w:val="0"/>
                <w:bCs w:val="0"/>
                <w:color w:val="auto"/>
                <w:kern w:val="0"/>
                <w:sz w:val="21"/>
                <w:szCs w:val="21"/>
                <w:highlight w:val="none"/>
                <w:lang w:val="en-US" w:eastAsia="zh-CN" w:bidi="ar-SA"/>
              </w:rPr>
            </w:pPr>
            <w:r>
              <w:rPr>
                <w:rFonts w:hint="eastAsia" w:ascii="宋体" w:hAnsi="宋体" w:eastAsia="宋体" w:cs="Times New Roman"/>
                <w:b w:val="0"/>
                <w:bCs w:val="0"/>
                <w:color w:val="auto"/>
                <w:kern w:val="0"/>
                <w:sz w:val="21"/>
                <w:szCs w:val="21"/>
                <w:highlight w:val="none"/>
                <w:lang w:val="en-US" w:eastAsia="zh-CN" w:bidi="ar-SA"/>
              </w:rPr>
              <w:t>所有有效报价中的</w:t>
            </w:r>
            <w:r>
              <w:rPr>
                <w:rFonts w:hint="eastAsia" w:ascii="宋体" w:hAnsi="宋体" w:cs="Times New Roman"/>
                <w:b w:val="0"/>
                <w:bCs w:val="0"/>
                <w:color w:val="auto"/>
                <w:kern w:val="0"/>
                <w:sz w:val="21"/>
                <w:szCs w:val="21"/>
                <w:highlight w:val="none"/>
                <w:lang w:val="en-US" w:eastAsia="zh-CN" w:bidi="ar-SA"/>
              </w:rPr>
              <w:t>最低总价</w:t>
            </w:r>
            <w:r>
              <w:rPr>
                <w:rFonts w:hint="eastAsia" w:ascii="宋体" w:hAnsi="宋体" w:eastAsia="宋体" w:cs="Times New Roman"/>
                <w:b w:val="0"/>
                <w:bCs w:val="0"/>
                <w:color w:val="auto"/>
                <w:kern w:val="0"/>
                <w:sz w:val="21"/>
                <w:szCs w:val="21"/>
                <w:highlight w:val="none"/>
                <w:lang w:val="en-US" w:eastAsia="zh-CN" w:bidi="ar-SA"/>
              </w:rPr>
              <w:t>为评标基准</w:t>
            </w:r>
            <w:r>
              <w:rPr>
                <w:rFonts w:hint="eastAsia" w:ascii="宋体" w:hAnsi="宋体" w:cs="Times New Roman"/>
                <w:b w:val="0"/>
                <w:bCs w:val="0"/>
                <w:color w:val="auto"/>
                <w:kern w:val="0"/>
                <w:sz w:val="21"/>
                <w:szCs w:val="21"/>
                <w:highlight w:val="none"/>
                <w:lang w:val="en-US" w:eastAsia="zh-CN" w:bidi="ar-SA"/>
              </w:rPr>
              <w:t>价</w:t>
            </w:r>
            <w:r>
              <w:rPr>
                <w:rFonts w:hint="eastAsia" w:ascii="宋体" w:hAnsi="宋体" w:eastAsia="宋体" w:cs="Times New Roman"/>
                <w:b w:val="0"/>
                <w:bCs w:val="0"/>
                <w:color w:val="auto"/>
                <w:kern w:val="0"/>
                <w:sz w:val="21"/>
                <w:szCs w:val="21"/>
                <w:highlight w:val="none"/>
                <w:lang w:val="en-US" w:eastAsia="zh-CN" w:bidi="ar-SA"/>
              </w:rPr>
              <w:t>。</w:t>
            </w:r>
          </w:p>
          <w:p>
            <w:pPr>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各有效的</w:t>
            </w:r>
            <w:r>
              <w:rPr>
                <w:rFonts w:hint="eastAsia" w:ascii="宋体" w:hAnsi="宋体" w:cs="宋体"/>
                <w:color w:val="auto"/>
                <w:highlight w:val="none"/>
                <w:lang w:val="en-US" w:eastAsia="zh-CN"/>
              </w:rPr>
              <w:t>参选报价</w:t>
            </w:r>
            <w:r>
              <w:rPr>
                <w:rFonts w:hint="eastAsia" w:ascii="宋体" w:hAnsi="宋体" w:cs="宋体"/>
                <w:color w:val="auto"/>
                <w:highlight w:val="none"/>
              </w:rPr>
              <w:t>先得满分</w:t>
            </w:r>
            <w:r>
              <w:rPr>
                <w:rFonts w:hint="eastAsia" w:ascii="Calibri" w:hAnsi="Calibri"/>
                <w:color w:val="auto"/>
                <w:highlight w:val="none"/>
                <w:lang w:val="en-US" w:eastAsia="zh-CN"/>
              </w:rPr>
              <w:t>100</w:t>
            </w:r>
            <w:r>
              <w:rPr>
                <w:rFonts w:hint="eastAsia" w:ascii="宋体" w:hAnsi="宋体" w:cs="宋体"/>
                <w:color w:val="auto"/>
                <w:highlight w:val="none"/>
              </w:rPr>
              <w:t>分。在此基础上，</w:t>
            </w:r>
            <w:r>
              <w:rPr>
                <w:rFonts w:hint="eastAsia" w:ascii="宋体" w:hAnsi="宋体" w:cs="宋体"/>
                <w:color w:val="auto"/>
                <w:highlight w:val="none"/>
                <w:lang w:val="en-US" w:eastAsia="zh-CN"/>
              </w:rPr>
              <w:t>参选报价总价</w:t>
            </w:r>
            <w:r>
              <w:rPr>
                <w:rFonts w:hint="eastAsia" w:ascii="宋体" w:hAnsi="宋体" w:cs="宋体"/>
                <w:color w:val="auto"/>
                <w:highlight w:val="none"/>
              </w:rPr>
              <w:t>与评标基准</w:t>
            </w:r>
            <w:r>
              <w:rPr>
                <w:rFonts w:hint="eastAsia" w:ascii="宋体" w:hAnsi="宋体" w:cs="宋体"/>
                <w:color w:val="auto"/>
                <w:highlight w:val="none"/>
                <w:lang w:val="en-US" w:eastAsia="zh-CN"/>
              </w:rPr>
              <w:t>价</w:t>
            </w:r>
            <w:r>
              <w:rPr>
                <w:rFonts w:hint="eastAsia" w:ascii="宋体" w:hAnsi="宋体" w:cs="宋体"/>
                <w:color w:val="auto"/>
                <w:highlight w:val="none"/>
              </w:rPr>
              <w:t>相比，每</w:t>
            </w:r>
            <w:r>
              <w:rPr>
                <w:rFonts w:hint="eastAsia" w:ascii="宋体" w:hAnsi="宋体" w:cs="宋体"/>
                <w:color w:val="auto"/>
                <w:highlight w:val="none"/>
                <w:lang w:val="en-US" w:eastAsia="zh-CN"/>
              </w:rPr>
              <w:t>高</w:t>
            </w:r>
            <w:r>
              <w:rPr>
                <w:rFonts w:hint="eastAsia" w:ascii="Calibri" w:hAnsi="Calibri" w:eastAsia="Calibri"/>
                <w:color w:val="auto"/>
                <w:highlight w:val="none"/>
              </w:rPr>
              <w:t>1</w:t>
            </w:r>
            <w:r>
              <w:rPr>
                <w:rFonts w:hint="eastAsia" w:ascii="宋体" w:hAnsi="宋体" w:cs="宋体"/>
                <w:color w:val="auto"/>
                <w:highlight w:val="none"/>
              </w:rPr>
              <w:t>％扣</w:t>
            </w:r>
            <w:r>
              <w:rPr>
                <w:rFonts w:hint="eastAsia" w:ascii="Calibri" w:hAnsi="Calibri" w:eastAsia="Calibri"/>
                <w:color w:val="auto"/>
                <w:highlight w:val="none"/>
              </w:rPr>
              <w:t>0.2</w:t>
            </w:r>
            <w:r>
              <w:rPr>
                <w:rFonts w:hint="eastAsia" w:ascii="宋体" w:hAnsi="宋体" w:cs="宋体"/>
                <w:color w:val="auto"/>
                <w:highlight w:val="none"/>
              </w:rPr>
              <w:t>分</w:t>
            </w:r>
            <w:r>
              <w:rPr>
                <w:rFonts w:hint="eastAsia" w:ascii="Calibri" w:hAnsi="Calibri" w:eastAsia="Calibri"/>
                <w:color w:val="auto"/>
                <w:highlight w:val="none"/>
              </w:rPr>
              <w:t xml:space="preserve">, </w:t>
            </w:r>
            <w:r>
              <w:rPr>
                <w:rFonts w:hint="eastAsia" w:ascii="宋体" w:hAnsi="宋体" w:cs="宋体"/>
                <w:color w:val="auto"/>
                <w:highlight w:val="none"/>
              </w:rPr>
              <w:t>扣完为止。</w:t>
            </w:r>
          </w:p>
          <w:p>
            <w:pPr>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510"/>
              <w:textAlignment w:val="auto"/>
              <w:rPr>
                <w:rFonts w:ascii="宋体" w:hAnsi="宋体" w:cs="宋体"/>
                <w:b/>
                <w:color w:val="auto"/>
                <w:highlight w:val="none"/>
              </w:rPr>
            </w:pPr>
            <w:r>
              <w:rPr>
                <w:rFonts w:hint="eastAsia" w:ascii="宋体" w:hAnsi="宋体" w:cs="宋体"/>
                <w:b/>
                <w:color w:val="auto"/>
                <w:highlight w:val="none"/>
              </w:rPr>
              <w:t>计算方法：</w:t>
            </w:r>
          </w:p>
          <w:p>
            <w:pPr>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510"/>
              <w:textAlignment w:val="auto"/>
              <w:rPr>
                <w:rFonts w:hint="eastAsia" w:ascii="Calibri" w:hAnsi="Calibri" w:eastAsia="Calibri"/>
                <w:b/>
                <w:color w:val="auto"/>
                <w:highlight w:val="none"/>
              </w:rPr>
            </w:pPr>
            <w:r>
              <w:rPr>
                <w:rFonts w:hint="eastAsia" w:ascii="宋体" w:hAnsi="宋体" w:cs="宋体"/>
                <w:b/>
                <w:color w:val="auto"/>
                <w:highlight w:val="none"/>
                <w:lang w:val="en-US" w:eastAsia="zh-CN"/>
              </w:rPr>
              <w:t>参选</w:t>
            </w:r>
            <w:r>
              <w:rPr>
                <w:rFonts w:ascii="宋体" w:hAnsi="宋体" w:cs="宋体"/>
                <w:b/>
                <w:color w:val="auto"/>
                <w:highlight w:val="none"/>
              </w:rPr>
              <w:t>人</w:t>
            </w:r>
            <w:r>
              <w:rPr>
                <w:rFonts w:hint="eastAsia" w:ascii="宋体" w:hAnsi="宋体" w:cs="宋体"/>
                <w:b/>
                <w:color w:val="auto"/>
                <w:highlight w:val="none"/>
                <w:lang w:val="en-US" w:eastAsia="zh-CN"/>
              </w:rPr>
              <w:t>报价</w:t>
            </w:r>
            <w:r>
              <w:rPr>
                <w:rFonts w:ascii="宋体" w:hAnsi="宋体" w:cs="宋体"/>
                <w:b/>
                <w:color w:val="auto"/>
                <w:highlight w:val="none"/>
              </w:rPr>
              <w:t>得分</w:t>
            </w:r>
            <w:r>
              <w:rPr>
                <w:rFonts w:hint="eastAsia" w:ascii="宋体" w:hAnsi="宋体" w:cs="宋体"/>
                <w:b/>
                <w:color w:val="auto"/>
                <w:highlight w:val="none"/>
              </w:rPr>
              <w:t>=</w:t>
            </w:r>
            <w:r>
              <w:rPr>
                <w:rFonts w:hint="eastAsia" w:ascii="宋体" w:hAnsi="宋体" w:cs="宋体"/>
                <w:b/>
                <w:color w:val="auto"/>
                <w:highlight w:val="none"/>
                <w:lang w:val="en-US" w:eastAsia="zh-CN"/>
              </w:rPr>
              <w:t>100</w:t>
            </w:r>
            <w:r>
              <w:rPr>
                <w:rFonts w:hint="eastAsia" w:ascii="宋体" w:hAnsi="宋体" w:cs="宋体"/>
                <w:b/>
                <w:color w:val="auto"/>
                <w:highlight w:val="none"/>
              </w:rPr>
              <w:t>-</w:t>
            </w:r>
            <w:r>
              <w:rPr>
                <w:rFonts w:hint="eastAsia" w:ascii="宋体" w:hAnsi="宋体" w:cs="宋体"/>
                <w:b/>
                <w:color w:val="auto"/>
                <w:highlight w:val="none"/>
                <w:lang w:eastAsia="zh-CN"/>
              </w:rPr>
              <w:t>（</w:t>
            </w:r>
            <w:r>
              <w:rPr>
                <w:rFonts w:hint="eastAsia" w:ascii="宋体" w:hAnsi="宋体" w:cs="宋体"/>
                <w:b/>
                <w:color w:val="auto"/>
                <w:highlight w:val="none"/>
                <w:lang w:val="en-US" w:eastAsia="zh-CN"/>
              </w:rPr>
              <w:t>报价总价-</w:t>
            </w:r>
            <w:r>
              <w:rPr>
                <w:rFonts w:ascii="宋体" w:hAnsi="宋体" w:cs="宋体"/>
                <w:b/>
                <w:color w:val="auto"/>
                <w:highlight w:val="none"/>
              </w:rPr>
              <w:t>评标基准</w:t>
            </w:r>
            <w:r>
              <w:rPr>
                <w:rFonts w:hint="eastAsia" w:ascii="宋体" w:hAnsi="宋体" w:cs="宋体"/>
                <w:b/>
                <w:color w:val="auto"/>
                <w:highlight w:val="none"/>
                <w:lang w:val="en-US" w:eastAsia="zh-CN"/>
              </w:rPr>
              <w:t>价</w:t>
            </w:r>
            <w:r>
              <w:rPr>
                <w:rFonts w:hint="eastAsia" w:ascii="宋体" w:hAnsi="宋体" w:cs="宋体"/>
                <w:b/>
                <w:color w:val="auto"/>
                <w:highlight w:val="none"/>
                <w:lang w:eastAsia="zh-CN"/>
              </w:rPr>
              <w:t>）</w:t>
            </w:r>
            <w:r>
              <w:rPr>
                <w:rFonts w:hint="eastAsia" w:ascii="宋体" w:hAnsi="宋体" w:cs="宋体"/>
                <w:b/>
                <w:color w:val="auto"/>
                <w:highlight w:val="none"/>
                <w:lang w:val="en-US" w:eastAsia="zh-CN"/>
              </w:rPr>
              <w:t>/评标基准价</w:t>
            </w:r>
            <w:r>
              <w:rPr>
                <w:rFonts w:hint="eastAsia" w:ascii="宋体" w:hAnsi="宋体" w:cs="宋体"/>
                <w:b/>
                <w:color w:val="auto"/>
                <w:highlight w:val="none"/>
              </w:rPr>
              <w:t>×</w:t>
            </w:r>
            <w:r>
              <w:rPr>
                <w:rFonts w:hint="eastAsia" w:ascii="宋体" w:hAnsi="宋体" w:cs="宋体"/>
                <w:b/>
                <w:color w:val="auto"/>
                <w:highlight w:val="none"/>
                <w:lang w:val="en-US" w:eastAsia="zh-CN"/>
              </w:rPr>
              <w:t>100</w:t>
            </w:r>
            <w:r>
              <w:rPr>
                <w:rFonts w:hint="eastAsia" w:ascii="宋体" w:hAnsi="宋体" w:cs="宋体"/>
                <w:b/>
                <w:color w:val="auto"/>
                <w:highlight w:val="none"/>
              </w:rPr>
              <w:t>×0</w:t>
            </w:r>
            <w:r>
              <w:rPr>
                <w:rFonts w:ascii="宋体" w:hAnsi="宋体" w:cs="宋体"/>
                <w:b/>
                <w:color w:val="auto"/>
                <w:highlight w:val="none"/>
              </w:rPr>
              <w:t>.2</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kern w:val="0"/>
                <w:szCs w:val="21"/>
                <w:highlight w:val="none"/>
              </w:rPr>
            </w:pPr>
            <w:r>
              <w:rPr>
                <w:rFonts w:hint="eastAsia" w:ascii="宋体" w:hAnsi="宋体" w:cs="宋体"/>
                <w:color w:val="auto"/>
                <w:highlight w:val="none"/>
              </w:rPr>
              <w:t>以上计算取小数点后两位。</w:t>
            </w:r>
          </w:p>
        </w:tc>
      </w:tr>
    </w:tbl>
    <w:p>
      <w:pPr>
        <w:pStyle w:val="4"/>
        <w:spacing w:before="0" w:after="0" w:line="360" w:lineRule="auto"/>
        <w:rPr>
          <w:rFonts w:ascii="宋体" w:hAnsi="宋体"/>
          <w:b w:val="0"/>
          <w:snapToGrid w:val="0"/>
          <w:color w:val="auto"/>
          <w:highlight w:val="none"/>
        </w:rPr>
      </w:pPr>
    </w:p>
    <w:p>
      <w:pPr>
        <w:pStyle w:val="4"/>
        <w:spacing w:before="0" w:after="0" w:line="360" w:lineRule="auto"/>
        <w:rPr>
          <w:rFonts w:ascii="宋体" w:hAnsi="宋体"/>
          <w:bCs w:val="0"/>
          <w:snapToGrid w:val="0"/>
          <w:color w:val="auto"/>
          <w:highlight w:val="none"/>
        </w:rPr>
      </w:pPr>
      <w:r>
        <w:rPr>
          <w:rFonts w:ascii="宋体" w:hAnsi="宋体"/>
          <w:b w:val="0"/>
          <w:snapToGrid w:val="0"/>
          <w:color w:val="auto"/>
          <w:highlight w:val="none"/>
        </w:rPr>
        <w:br w:type="page"/>
      </w:r>
      <w:bookmarkStart w:id="38" w:name="_Toc57905886"/>
      <w:bookmarkStart w:id="39" w:name="_Toc27750"/>
      <w:bookmarkStart w:id="40" w:name="_Toc2957"/>
      <w:bookmarkStart w:id="41" w:name="_Toc67475638"/>
      <w:bookmarkStart w:id="42" w:name="_Toc68115909"/>
      <w:r>
        <w:rPr>
          <w:rFonts w:ascii="宋体" w:hAnsi="宋体"/>
          <w:b w:val="0"/>
          <w:snapToGrid w:val="0"/>
          <w:color w:val="auto"/>
          <w:highlight w:val="none"/>
        </w:rPr>
        <w:t>1.  评标方法</w:t>
      </w:r>
      <w:bookmarkEnd w:id="38"/>
      <w:bookmarkEnd w:id="39"/>
    </w:p>
    <w:p>
      <w:pPr>
        <w:spacing w:line="360" w:lineRule="auto"/>
        <w:ind w:firstLine="420" w:firstLineChars="200"/>
        <w:rPr>
          <w:rFonts w:ascii="宋体" w:hAnsi="宋体"/>
          <w:color w:val="auto"/>
          <w:highlight w:val="none"/>
        </w:rPr>
      </w:pPr>
      <w:r>
        <w:rPr>
          <w:rFonts w:hint="eastAsia" w:ascii="宋体" w:hAnsi="宋体"/>
          <w:color w:val="auto"/>
          <w:highlight w:val="none"/>
        </w:rPr>
        <w:t>本次评标采用经评审的最低</w:t>
      </w:r>
      <w:r>
        <w:rPr>
          <w:rFonts w:hint="eastAsia" w:ascii="宋体" w:hAnsi="宋体"/>
          <w:color w:val="auto"/>
          <w:highlight w:val="none"/>
          <w:lang w:val="en-US" w:eastAsia="zh-CN"/>
        </w:rPr>
        <w:t>投标</w:t>
      </w:r>
      <w:r>
        <w:rPr>
          <w:rFonts w:hint="eastAsia" w:ascii="宋体" w:hAnsi="宋体"/>
          <w:color w:val="auto"/>
          <w:highlight w:val="none"/>
        </w:rPr>
        <w:t>价法，</w:t>
      </w:r>
      <w:r>
        <w:rPr>
          <w:rFonts w:hint="eastAsia" w:ascii="宋体" w:hAnsi="宋体"/>
          <w:color w:val="auto"/>
          <w:highlight w:val="none"/>
          <w:lang w:eastAsia="zh-CN"/>
        </w:rPr>
        <w:t>公开比选委员会</w:t>
      </w:r>
      <w:r>
        <w:rPr>
          <w:rFonts w:hint="eastAsia" w:ascii="宋体" w:hAnsi="宋体"/>
          <w:color w:val="auto"/>
          <w:highlight w:val="none"/>
        </w:rPr>
        <w:t>按照本章第</w:t>
      </w:r>
      <w:r>
        <w:rPr>
          <w:rFonts w:hint="eastAsia" w:ascii="宋体" w:hAnsi="宋体"/>
          <w:color w:val="auto"/>
          <w:highlight w:val="none"/>
          <w:lang w:val="en-US" w:eastAsia="zh-CN"/>
        </w:rPr>
        <w:t>3</w:t>
      </w:r>
      <w:r>
        <w:rPr>
          <w:rFonts w:hint="eastAsia" w:ascii="宋体" w:hAnsi="宋体"/>
          <w:color w:val="auto"/>
          <w:highlight w:val="none"/>
        </w:rPr>
        <w:t>.1款进行报价排序，按照本章第2.</w:t>
      </w:r>
      <w:r>
        <w:rPr>
          <w:rFonts w:hint="eastAsia" w:ascii="宋体" w:hAnsi="宋体"/>
          <w:color w:val="auto"/>
          <w:highlight w:val="none"/>
          <w:lang w:val="en-US" w:eastAsia="zh-CN"/>
        </w:rPr>
        <w:t>1.1-2.1.3</w:t>
      </w:r>
      <w:r>
        <w:rPr>
          <w:rFonts w:hint="eastAsia" w:ascii="宋体" w:hAnsi="宋体"/>
          <w:color w:val="auto"/>
          <w:highlight w:val="none"/>
        </w:rPr>
        <w:t>款进行符合性审查，符合性审查合格的</w:t>
      </w:r>
      <w:r>
        <w:rPr>
          <w:rFonts w:hint="eastAsia" w:ascii="宋体" w:hAnsi="宋体"/>
          <w:color w:val="auto"/>
          <w:highlight w:val="none"/>
          <w:lang w:eastAsia="zh-CN"/>
        </w:rPr>
        <w:t>参选</w:t>
      </w:r>
      <w:r>
        <w:rPr>
          <w:rFonts w:hint="eastAsia" w:ascii="宋体" w:hAnsi="宋体"/>
          <w:color w:val="auto"/>
          <w:highlight w:val="none"/>
        </w:rPr>
        <w:t>人中按报价</w:t>
      </w:r>
      <w:r>
        <w:rPr>
          <w:rFonts w:hint="eastAsia" w:ascii="宋体" w:hAnsi="宋体"/>
          <w:color w:val="auto"/>
          <w:highlight w:val="none"/>
          <w:lang w:val="en-US" w:eastAsia="zh-CN"/>
        </w:rPr>
        <w:t>得分</w:t>
      </w:r>
      <w:r>
        <w:rPr>
          <w:rFonts w:hint="eastAsia" w:ascii="宋体" w:hAnsi="宋体"/>
          <w:color w:val="auto"/>
          <w:highlight w:val="none"/>
        </w:rPr>
        <w:t>由</w:t>
      </w:r>
      <w:r>
        <w:rPr>
          <w:rFonts w:hint="eastAsia" w:ascii="宋体" w:hAnsi="宋体"/>
          <w:color w:val="auto"/>
          <w:highlight w:val="none"/>
          <w:lang w:val="en-US" w:eastAsia="zh-CN"/>
        </w:rPr>
        <w:t>高</w:t>
      </w:r>
      <w:r>
        <w:rPr>
          <w:rFonts w:hint="eastAsia" w:ascii="宋体" w:hAnsi="宋体"/>
          <w:color w:val="auto"/>
          <w:highlight w:val="none"/>
        </w:rPr>
        <w:t>到</w:t>
      </w:r>
      <w:r>
        <w:rPr>
          <w:rFonts w:hint="eastAsia" w:ascii="宋体" w:hAnsi="宋体"/>
          <w:color w:val="auto"/>
          <w:highlight w:val="none"/>
          <w:lang w:val="en-US" w:eastAsia="zh-CN"/>
        </w:rPr>
        <w:t>低</w:t>
      </w:r>
      <w:r>
        <w:rPr>
          <w:rFonts w:hint="eastAsia" w:ascii="宋体" w:hAnsi="宋体"/>
          <w:color w:val="auto"/>
          <w:highlight w:val="none"/>
        </w:rPr>
        <w:t>推荐</w:t>
      </w:r>
      <w:r>
        <w:rPr>
          <w:rFonts w:hint="eastAsia" w:ascii="宋体" w:hAnsi="宋体"/>
          <w:color w:val="auto"/>
          <w:highlight w:val="none"/>
          <w:lang w:eastAsia="zh-CN"/>
        </w:rPr>
        <w:t>中选</w:t>
      </w:r>
      <w:r>
        <w:rPr>
          <w:rFonts w:hint="eastAsia" w:ascii="宋体" w:hAnsi="宋体"/>
          <w:color w:val="auto"/>
          <w:highlight w:val="none"/>
        </w:rPr>
        <w:t>候选人。若出现</w:t>
      </w:r>
      <w:r>
        <w:rPr>
          <w:rFonts w:hint="eastAsia" w:ascii="宋体" w:hAnsi="宋体"/>
          <w:color w:val="auto"/>
          <w:highlight w:val="none"/>
          <w:lang w:eastAsia="zh-CN"/>
        </w:rPr>
        <w:t>参选</w:t>
      </w:r>
      <w:r>
        <w:rPr>
          <w:rFonts w:hint="eastAsia" w:ascii="宋体" w:hAnsi="宋体"/>
          <w:color w:val="auto"/>
          <w:highlight w:val="none"/>
        </w:rPr>
        <w:t>人</w:t>
      </w:r>
      <w:r>
        <w:rPr>
          <w:rFonts w:hint="eastAsia" w:ascii="宋体" w:hAnsi="宋体"/>
          <w:color w:val="auto"/>
          <w:highlight w:val="none"/>
          <w:lang w:eastAsia="zh-CN"/>
        </w:rPr>
        <w:t>参选</w:t>
      </w:r>
      <w:r>
        <w:rPr>
          <w:rFonts w:hint="eastAsia" w:ascii="宋体" w:hAnsi="宋体"/>
          <w:color w:val="auto"/>
          <w:highlight w:val="none"/>
        </w:rPr>
        <w:t>报价相同的，以评标办法前附表约定的原则确定排序。</w:t>
      </w:r>
    </w:p>
    <w:p>
      <w:pPr>
        <w:pStyle w:val="4"/>
        <w:spacing w:before="0" w:after="0" w:line="360" w:lineRule="auto"/>
        <w:rPr>
          <w:rFonts w:ascii="宋体" w:hAnsi="宋体"/>
          <w:b w:val="0"/>
          <w:snapToGrid w:val="0"/>
          <w:color w:val="auto"/>
          <w:highlight w:val="none"/>
        </w:rPr>
      </w:pPr>
      <w:bookmarkStart w:id="43" w:name="_Toc57905887"/>
      <w:bookmarkStart w:id="44" w:name="_Toc20502"/>
      <w:r>
        <w:rPr>
          <w:rFonts w:ascii="宋体" w:hAnsi="宋体"/>
          <w:b w:val="0"/>
          <w:snapToGrid w:val="0"/>
          <w:color w:val="auto"/>
          <w:highlight w:val="none"/>
        </w:rPr>
        <w:t>2.  评审标准</w:t>
      </w:r>
      <w:bookmarkEnd w:id="43"/>
      <w:bookmarkEnd w:id="44"/>
    </w:p>
    <w:p>
      <w:pPr>
        <w:pStyle w:val="5"/>
        <w:spacing w:before="0" w:after="0" w:line="360" w:lineRule="auto"/>
        <w:rPr>
          <w:rFonts w:ascii="宋体" w:hAnsi="宋体" w:cs="宋体"/>
          <w:color w:val="auto"/>
          <w:sz w:val="21"/>
          <w:szCs w:val="21"/>
          <w:highlight w:val="none"/>
        </w:rPr>
      </w:pPr>
      <w:bookmarkStart w:id="45" w:name="_Toc3739"/>
      <w:bookmarkStart w:id="46" w:name="_Toc57905888"/>
      <w:r>
        <w:rPr>
          <w:rFonts w:ascii="宋体" w:hAnsi="宋体" w:cs="宋体"/>
          <w:color w:val="auto"/>
          <w:sz w:val="21"/>
          <w:szCs w:val="21"/>
          <w:highlight w:val="none"/>
        </w:rPr>
        <w:t>2.1</w:t>
      </w:r>
      <w:r>
        <w:rPr>
          <w:rFonts w:hint="eastAsia" w:ascii="宋体" w:hAnsi="宋体" w:cs="宋体"/>
          <w:color w:val="auto"/>
          <w:sz w:val="21"/>
          <w:szCs w:val="21"/>
          <w:highlight w:val="none"/>
        </w:rPr>
        <w:t>报价</w:t>
      </w:r>
      <w:r>
        <w:rPr>
          <w:rFonts w:ascii="宋体" w:hAnsi="宋体" w:cs="宋体"/>
          <w:color w:val="auto"/>
          <w:sz w:val="21"/>
          <w:szCs w:val="21"/>
          <w:highlight w:val="none"/>
        </w:rPr>
        <w:t>排序</w:t>
      </w:r>
      <w:bookmarkEnd w:id="45"/>
      <w:r>
        <w:rPr>
          <w:rFonts w:hint="eastAsia" w:ascii="宋体" w:hAnsi="宋体" w:cs="宋体"/>
          <w:color w:val="auto"/>
          <w:sz w:val="21"/>
          <w:szCs w:val="21"/>
          <w:highlight w:val="none"/>
        </w:rPr>
        <w:t>标准</w:t>
      </w:r>
      <w:bookmarkEnd w:id="46"/>
    </w:p>
    <w:p>
      <w:pPr>
        <w:autoSpaceDE w:val="0"/>
        <w:autoSpaceDN w:val="0"/>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见评标办法前附表。</w:t>
      </w:r>
    </w:p>
    <w:p>
      <w:pPr>
        <w:pStyle w:val="5"/>
        <w:spacing w:before="0" w:after="0" w:line="360" w:lineRule="auto"/>
        <w:rPr>
          <w:rFonts w:ascii="宋体" w:hAnsi="宋体" w:cs="宋体"/>
          <w:color w:val="auto"/>
          <w:sz w:val="21"/>
          <w:szCs w:val="21"/>
          <w:highlight w:val="none"/>
        </w:rPr>
      </w:pPr>
      <w:bookmarkStart w:id="47" w:name="_Toc16832"/>
      <w:bookmarkStart w:id="48" w:name="_Toc57905889"/>
      <w:r>
        <w:rPr>
          <w:rFonts w:ascii="宋体" w:hAnsi="宋体" w:cs="宋体"/>
          <w:color w:val="auto"/>
          <w:sz w:val="21"/>
          <w:szCs w:val="21"/>
          <w:highlight w:val="none"/>
        </w:rPr>
        <w:t>2.</w:t>
      </w:r>
      <w:r>
        <w:rPr>
          <w:rFonts w:hint="eastAsia" w:ascii="宋体" w:hAnsi="宋体" w:cs="宋体"/>
          <w:color w:val="auto"/>
          <w:sz w:val="21"/>
          <w:szCs w:val="21"/>
          <w:highlight w:val="none"/>
        </w:rPr>
        <w:t>2符合性审查</w:t>
      </w:r>
      <w:bookmarkEnd w:id="47"/>
      <w:r>
        <w:rPr>
          <w:rFonts w:hint="eastAsia" w:ascii="宋体" w:hAnsi="宋体" w:cs="宋体"/>
          <w:color w:val="auto"/>
          <w:sz w:val="21"/>
          <w:szCs w:val="21"/>
          <w:highlight w:val="none"/>
        </w:rPr>
        <w:t>标准</w:t>
      </w:r>
      <w:bookmarkEnd w:id="48"/>
    </w:p>
    <w:p>
      <w:pPr>
        <w:autoSpaceDE w:val="0"/>
        <w:autoSpaceDN w:val="0"/>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按评标办法前附表约定的</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单位报价排序数量进行符合性审查</w:t>
      </w:r>
      <w:r>
        <w:rPr>
          <w:rFonts w:hint="eastAsia" w:ascii="宋体" w:hAnsi="宋体"/>
          <w:color w:val="auto"/>
          <w:spacing w:val="4"/>
          <w:kern w:val="0"/>
          <w:szCs w:val="21"/>
          <w:highlight w:val="none"/>
        </w:rPr>
        <w:t>。符合性审查内容：资格评审、形式评审、响应性评审。</w:t>
      </w:r>
    </w:p>
    <w:p>
      <w:pPr>
        <w:autoSpaceDE w:val="0"/>
        <w:autoSpaceDN w:val="0"/>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2.2.1  技术方案评审标准：</w:t>
      </w:r>
      <w:r>
        <w:rPr>
          <w:rFonts w:hint="eastAsia" w:ascii="宋体" w:hAnsi="宋体" w:cs="宋体"/>
          <w:color w:val="auto"/>
          <w:szCs w:val="21"/>
          <w:highlight w:val="none"/>
          <w:lang w:val="en-US" w:eastAsia="zh-CN"/>
        </w:rPr>
        <w:t>无</w:t>
      </w:r>
      <w:r>
        <w:rPr>
          <w:rFonts w:hint="eastAsia" w:ascii="宋体" w:hAnsi="宋体" w:cs="宋体"/>
          <w:color w:val="auto"/>
          <w:szCs w:val="21"/>
          <w:highlight w:val="none"/>
        </w:rPr>
        <w:t>。</w:t>
      </w:r>
    </w:p>
    <w:p>
      <w:pPr>
        <w:autoSpaceDE w:val="0"/>
        <w:autoSpaceDN w:val="0"/>
        <w:adjustRightInd w:val="0"/>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2A  资格评审标准：见资格预审文件第三章“资格审查办法”详细审查标准（适用于已进行资格预审的）。</w:t>
      </w:r>
    </w:p>
    <w:p>
      <w:pPr>
        <w:autoSpaceDE w:val="0"/>
        <w:autoSpaceDN w:val="0"/>
        <w:adjustRightInd w:val="0"/>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2B  资格评审标准：见评标办法前附表（适用于未进行资格预审的）。</w:t>
      </w:r>
    </w:p>
    <w:p>
      <w:pPr>
        <w:autoSpaceDE w:val="0"/>
        <w:autoSpaceDN w:val="0"/>
        <w:adjustRightInd w:val="0"/>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3  形式评审标准：见评标办法前附表。</w:t>
      </w:r>
    </w:p>
    <w:p>
      <w:pPr>
        <w:autoSpaceDE w:val="0"/>
        <w:autoSpaceDN w:val="0"/>
        <w:adjustRightInd w:val="0"/>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4  响应性评审标准：见评标办法前附表。</w:t>
      </w:r>
    </w:p>
    <w:p>
      <w:pPr>
        <w:pStyle w:val="4"/>
        <w:spacing w:before="0" w:after="0" w:line="360" w:lineRule="auto"/>
        <w:rPr>
          <w:rFonts w:ascii="宋体" w:hAnsi="宋体"/>
          <w:b w:val="0"/>
          <w:snapToGrid w:val="0"/>
          <w:color w:val="auto"/>
          <w:highlight w:val="none"/>
        </w:rPr>
      </w:pPr>
      <w:bookmarkStart w:id="49" w:name="_Toc57905890"/>
      <w:bookmarkStart w:id="50" w:name="_Toc6630"/>
      <w:r>
        <w:rPr>
          <w:rFonts w:ascii="宋体" w:hAnsi="宋体"/>
          <w:b w:val="0"/>
          <w:snapToGrid w:val="0"/>
          <w:color w:val="auto"/>
          <w:highlight w:val="none"/>
        </w:rPr>
        <w:t>3.  评标程序</w:t>
      </w:r>
      <w:bookmarkEnd w:id="49"/>
      <w:bookmarkEnd w:id="50"/>
    </w:p>
    <w:p>
      <w:pPr>
        <w:pStyle w:val="5"/>
        <w:spacing w:before="0" w:after="0" w:line="360" w:lineRule="auto"/>
        <w:rPr>
          <w:rFonts w:ascii="宋体" w:hAnsi="宋体" w:cs="宋体"/>
          <w:color w:val="auto"/>
          <w:sz w:val="21"/>
          <w:szCs w:val="21"/>
          <w:highlight w:val="none"/>
        </w:rPr>
      </w:pPr>
      <w:bookmarkStart w:id="51" w:name="_Toc17317"/>
      <w:bookmarkStart w:id="52" w:name="_Toc57905891"/>
      <w:r>
        <w:rPr>
          <w:rFonts w:ascii="宋体" w:hAnsi="宋体" w:cs="宋体"/>
          <w:color w:val="auto"/>
          <w:sz w:val="21"/>
          <w:szCs w:val="21"/>
          <w:highlight w:val="none"/>
        </w:rPr>
        <w:t>3.1</w:t>
      </w:r>
      <w:r>
        <w:rPr>
          <w:rFonts w:hint="eastAsia" w:ascii="宋体" w:hAnsi="宋体" w:cs="宋体"/>
          <w:color w:val="auto"/>
          <w:sz w:val="21"/>
          <w:szCs w:val="21"/>
          <w:highlight w:val="none"/>
        </w:rPr>
        <w:t>报价排序</w:t>
      </w:r>
      <w:bookmarkEnd w:id="51"/>
      <w:bookmarkEnd w:id="52"/>
    </w:p>
    <w:p>
      <w:pPr>
        <w:spacing w:line="360" w:lineRule="auto"/>
        <w:ind w:firstLine="413" w:firstLineChars="197"/>
        <w:rPr>
          <w:rFonts w:ascii="宋体" w:hAnsi="宋体" w:cs="宋体"/>
          <w:color w:val="auto"/>
          <w:szCs w:val="21"/>
          <w:highlight w:val="none"/>
        </w:rPr>
      </w:pPr>
      <w:r>
        <w:rPr>
          <w:rFonts w:hint="eastAsia" w:ascii="宋体" w:hAnsi="宋体" w:cs="宋体"/>
          <w:color w:val="auto"/>
          <w:szCs w:val="21"/>
          <w:highlight w:val="none"/>
        </w:rPr>
        <w:t>对报价不高于最高限价的所有</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人的</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文件，按照报价</w:t>
      </w:r>
      <w:r>
        <w:rPr>
          <w:rFonts w:hint="eastAsia" w:ascii="宋体" w:hAnsi="宋体" w:cs="宋体"/>
          <w:color w:val="auto"/>
          <w:szCs w:val="21"/>
          <w:highlight w:val="none"/>
          <w:lang w:val="en-US" w:eastAsia="zh-CN"/>
        </w:rPr>
        <w:t>得分</w:t>
      </w:r>
      <w:r>
        <w:rPr>
          <w:rFonts w:hint="eastAsia" w:ascii="宋体" w:hAnsi="宋体" w:cs="宋体"/>
          <w:color w:val="auto"/>
          <w:szCs w:val="21"/>
          <w:highlight w:val="none"/>
        </w:rPr>
        <w:t>由</w:t>
      </w:r>
      <w:r>
        <w:rPr>
          <w:rFonts w:hint="eastAsia" w:ascii="宋体" w:hAnsi="宋体" w:cs="宋体"/>
          <w:color w:val="auto"/>
          <w:szCs w:val="21"/>
          <w:highlight w:val="none"/>
          <w:lang w:val="en-US" w:eastAsia="zh-CN"/>
        </w:rPr>
        <w:t>高</w:t>
      </w:r>
      <w:r>
        <w:rPr>
          <w:rFonts w:hint="eastAsia" w:ascii="宋体" w:hAnsi="宋体" w:cs="宋体"/>
          <w:color w:val="auto"/>
          <w:szCs w:val="21"/>
          <w:highlight w:val="none"/>
        </w:rPr>
        <w:t>到</w:t>
      </w:r>
      <w:r>
        <w:rPr>
          <w:rFonts w:hint="eastAsia" w:ascii="宋体" w:hAnsi="宋体" w:cs="宋体"/>
          <w:color w:val="auto"/>
          <w:szCs w:val="21"/>
          <w:highlight w:val="none"/>
          <w:lang w:val="en-US" w:eastAsia="zh-CN"/>
        </w:rPr>
        <w:t>低</w:t>
      </w:r>
      <w:r>
        <w:rPr>
          <w:rFonts w:hint="eastAsia" w:ascii="宋体" w:hAnsi="宋体" w:cs="宋体"/>
          <w:color w:val="auto"/>
          <w:szCs w:val="21"/>
          <w:highlight w:val="none"/>
        </w:rPr>
        <w:t>的顺序</w:t>
      </w:r>
      <w:r>
        <w:rPr>
          <w:rFonts w:hint="eastAsia" w:ascii="宋体" w:hAnsi="宋体" w:cs="宋体"/>
          <w:color w:val="auto"/>
          <w:szCs w:val="21"/>
          <w:highlight w:val="none"/>
          <w:lang w:val="en-US" w:eastAsia="zh-CN"/>
        </w:rPr>
        <w:t>依次</w:t>
      </w:r>
      <w:r>
        <w:rPr>
          <w:rFonts w:hint="eastAsia" w:ascii="宋体" w:hAnsi="宋体" w:cs="宋体"/>
          <w:color w:val="auto"/>
          <w:szCs w:val="21"/>
          <w:highlight w:val="none"/>
        </w:rPr>
        <w:t>排序。</w:t>
      </w:r>
    </w:p>
    <w:p>
      <w:pPr>
        <w:pStyle w:val="5"/>
        <w:spacing w:before="0" w:after="0" w:line="360" w:lineRule="auto"/>
        <w:rPr>
          <w:rFonts w:ascii="宋体" w:hAnsi="宋体" w:cs="宋体"/>
          <w:color w:val="auto"/>
          <w:sz w:val="21"/>
          <w:szCs w:val="21"/>
          <w:highlight w:val="none"/>
        </w:rPr>
      </w:pPr>
      <w:bookmarkStart w:id="53" w:name="_Toc23300"/>
      <w:bookmarkStart w:id="54" w:name="_Toc57905892"/>
      <w:r>
        <w:rPr>
          <w:rFonts w:ascii="宋体" w:hAnsi="宋体" w:cs="宋体"/>
          <w:color w:val="auto"/>
          <w:sz w:val="21"/>
          <w:szCs w:val="21"/>
          <w:highlight w:val="none"/>
        </w:rPr>
        <w:t>3.</w:t>
      </w:r>
      <w:r>
        <w:rPr>
          <w:rFonts w:hint="eastAsia" w:ascii="宋体" w:hAnsi="宋体" w:cs="宋体"/>
          <w:color w:val="auto"/>
          <w:sz w:val="21"/>
          <w:szCs w:val="21"/>
          <w:highlight w:val="none"/>
        </w:rPr>
        <w:t>2符合性审查</w:t>
      </w:r>
      <w:bookmarkEnd w:id="53"/>
      <w:bookmarkEnd w:id="54"/>
    </w:p>
    <w:p>
      <w:pPr>
        <w:spacing w:line="360" w:lineRule="auto"/>
        <w:ind w:firstLine="413" w:firstLineChars="197"/>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2</w:t>
      </w:r>
      <w:r>
        <w:rPr>
          <w:rFonts w:ascii="宋体" w:hAnsi="宋体" w:cs="宋体"/>
          <w:color w:val="auto"/>
          <w:szCs w:val="21"/>
          <w:highlight w:val="none"/>
        </w:rPr>
        <w:t>.1</w:t>
      </w:r>
      <w:r>
        <w:rPr>
          <w:rFonts w:hint="eastAsia" w:ascii="宋体" w:hAnsi="宋体" w:cs="宋体"/>
          <w:color w:val="auto"/>
          <w:szCs w:val="21"/>
          <w:highlight w:val="none"/>
          <w:lang w:eastAsia="zh-CN"/>
        </w:rPr>
        <w:t>公开比选委员会</w:t>
      </w:r>
      <w:r>
        <w:rPr>
          <w:rFonts w:ascii="宋体" w:hAnsi="宋体" w:cs="宋体"/>
          <w:color w:val="auto"/>
          <w:szCs w:val="21"/>
          <w:highlight w:val="none"/>
        </w:rPr>
        <w:t>依据本章第</w:t>
      </w:r>
      <w:r>
        <w:rPr>
          <w:rFonts w:hint="eastAsia" w:ascii="宋体" w:hAnsi="宋体" w:cs="宋体"/>
          <w:color w:val="auto"/>
          <w:szCs w:val="21"/>
          <w:highlight w:val="none"/>
          <w:lang w:val="en-US" w:eastAsia="zh-CN"/>
        </w:rPr>
        <w:t>2.1.1-2.13</w:t>
      </w:r>
      <w:r>
        <w:rPr>
          <w:rFonts w:ascii="宋体" w:hAnsi="宋体" w:cs="宋体"/>
          <w:color w:val="auto"/>
          <w:szCs w:val="21"/>
          <w:highlight w:val="none"/>
        </w:rPr>
        <w:t xml:space="preserve"> </w:t>
      </w:r>
      <w:r>
        <w:rPr>
          <w:rFonts w:hint="eastAsia" w:ascii="宋体" w:hAnsi="宋体" w:cs="宋体"/>
          <w:color w:val="auto"/>
          <w:szCs w:val="21"/>
          <w:highlight w:val="none"/>
        </w:rPr>
        <w:t>款规定的标准对</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文件进行符合性审查。符合性审查顺序：资格评审、形式评审、响应性评审。</w:t>
      </w:r>
    </w:p>
    <w:p>
      <w:pPr>
        <w:spacing w:line="360" w:lineRule="auto"/>
        <w:ind w:firstLine="413" w:firstLineChars="197"/>
        <w:rPr>
          <w:rFonts w:ascii="宋体" w:hAnsi="宋体" w:cs="宋体"/>
          <w:color w:val="auto"/>
          <w:szCs w:val="21"/>
          <w:highlight w:val="none"/>
        </w:rPr>
      </w:pPr>
      <w:r>
        <w:rPr>
          <w:rFonts w:hint="eastAsia" w:ascii="宋体" w:hAnsi="宋体" w:cs="宋体"/>
          <w:color w:val="auto"/>
          <w:szCs w:val="21"/>
          <w:highlight w:val="none"/>
        </w:rPr>
        <w:t>有一项不符合评审标准的，作否决</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处理。</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2</w:t>
      </w:r>
      <w:r>
        <w:rPr>
          <w:rFonts w:ascii="宋体" w:hAnsi="宋体" w:cs="宋体"/>
          <w:color w:val="auto"/>
          <w:szCs w:val="21"/>
          <w:highlight w:val="none"/>
        </w:rPr>
        <w:t xml:space="preserve">.2 </w:t>
      </w:r>
      <w:r>
        <w:rPr>
          <w:rFonts w:hint="eastAsia" w:ascii="宋体" w:hAnsi="宋体" w:cs="宋体"/>
          <w:color w:val="auto"/>
          <w:szCs w:val="21"/>
          <w:highlight w:val="none"/>
          <w:lang w:eastAsia="zh-CN"/>
        </w:rPr>
        <w:t>参选</w:t>
      </w:r>
      <w:r>
        <w:rPr>
          <w:rFonts w:ascii="宋体" w:hAnsi="宋体" w:cs="宋体"/>
          <w:color w:val="auto"/>
          <w:szCs w:val="21"/>
          <w:highlight w:val="none"/>
        </w:rPr>
        <w:t>人有以下情形之一的，</w:t>
      </w:r>
      <w:r>
        <w:rPr>
          <w:rFonts w:hint="eastAsia" w:ascii="宋体" w:hAnsi="宋体" w:cs="宋体"/>
          <w:color w:val="auto"/>
          <w:szCs w:val="21"/>
          <w:highlight w:val="none"/>
        </w:rPr>
        <w:t>其</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文件将被否决：</w:t>
      </w:r>
    </w:p>
    <w:p>
      <w:pPr>
        <w:spacing w:line="360" w:lineRule="auto"/>
        <w:ind w:firstLine="405" w:firstLineChars="193"/>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）第二章“</w:t>
      </w:r>
      <w:r>
        <w:rPr>
          <w:rFonts w:hint="eastAsia" w:ascii="宋体" w:hAnsi="宋体" w:cs="宋体"/>
          <w:color w:val="auto"/>
          <w:szCs w:val="21"/>
          <w:highlight w:val="none"/>
          <w:lang w:eastAsia="zh-CN"/>
        </w:rPr>
        <w:t>参选</w:t>
      </w:r>
      <w:r>
        <w:rPr>
          <w:rFonts w:ascii="宋体" w:hAnsi="宋体" w:cs="宋体"/>
          <w:color w:val="auto"/>
          <w:szCs w:val="21"/>
          <w:highlight w:val="none"/>
        </w:rPr>
        <w:t xml:space="preserve">人须知”第1.4.3 </w:t>
      </w:r>
      <w:r>
        <w:rPr>
          <w:rFonts w:hint="eastAsia" w:ascii="宋体" w:hAnsi="宋体" w:cs="宋体"/>
          <w:color w:val="auto"/>
          <w:szCs w:val="21"/>
          <w:highlight w:val="none"/>
        </w:rPr>
        <w:t>项</w:t>
      </w:r>
      <w:r>
        <w:rPr>
          <w:rFonts w:ascii="宋体" w:hAnsi="宋体" w:cs="宋体"/>
          <w:color w:val="auto"/>
          <w:szCs w:val="21"/>
          <w:highlight w:val="none"/>
        </w:rPr>
        <w:t>规定的任何一种情形的；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本次</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有串通</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、弄虚作假等其他违反招</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相关法律、法规行为的；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（3）拒绝按</w:t>
      </w:r>
      <w:r>
        <w:rPr>
          <w:rFonts w:hint="eastAsia" w:ascii="宋体" w:hAnsi="宋体" w:cs="宋体"/>
          <w:color w:val="auto"/>
          <w:szCs w:val="21"/>
          <w:highlight w:val="none"/>
          <w:lang w:eastAsia="zh-CN"/>
        </w:rPr>
        <w:t>公开比选委员会</w:t>
      </w:r>
      <w:r>
        <w:rPr>
          <w:rFonts w:hint="eastAsia" w:ascii="宋体" w:hAnsi="宋体" w:cs="宋体"/>
          <w:color w:val="auto"/>
          <w:szCs w:val="21"/>
          <w:highlight w:val="none"/>
        </w:rPr>
        <w:t>要求澄清、说明或补正的。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3.2.3 </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报价有算术错误的，</w:t>
      </w:r>
      <w:r>
        <w:rPr>
          <w:rFonts w:hint="eastAsia" w:ascii="宋体" w:hAnsi="宋体" w:cs="宋体"/>
          <w:color w:val="auto"/>
          <w:szCs w:val="21"/>
          <w:highlight w:val="none"/>
          <w:lang w:eastAsia="zh-CN"/>
        </w:rPr>
        <w:t>公开比选委员会</w:t>
      </w:r>
      <w:r>
        <w:rPr>
          <w:rFonts w:hint="eastAsia" w:ascii="宋体" w:hAnsi="宋体" w:cs="宋体"/>
          <w:color w:val="auto"/>
          <w:szCs w:val="21"/>
          <w:highlight w:val="none"/>
        </w:rPr>
        <w:t>按以下原则对</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报价进行修正，修正的价格经</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人书面确认后具有约束力，修正原则如下：</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文件中的大写金额与小写金额不一致的，以大写金额为准；</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函中的总报价与已标价工程量清单总报价不一致的，由</w:t>
      </w:r>
      <w:r>
        <w:rPr>
          <w:rFonts w:hint="eastAsia" w:ascii="宋体" w:hAnsi="宋体" w:cs="宋体"/>
          <w:color w:val="auto"/>
          <w:szCs w:val="21"/>
          <w:highlight w:val="none"/>
          <w:lang w:eastAsia="zh-CN"/>
        </w:rPr>
        <w:t>公开比选委员会</w:t>
      </w:r>
      <w:r>
        <w:rPr>
          <w:rFonts w:hint="eastAsia" w:ascii="宋体" w:hAnsi="宋体" w:cs="宋体"/>
          <w:color w:val="auto"/>
          <w:szCs w:val="21"/>
          <w:highlight w:val="none"/>
        </w:rPr>
        <w:t>作否决</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处理。</w:t>
      </w:r>
    </w:p>
    <w:p>
      <w:pPr>
        <w:pStyle w:val="5"/>
        <w:spacing w:before="0" w:after="0" w:line="360" w:lineRule="auto"/>
        <w:rPr>
          <w:rFonts w:ascii="宋体" w:hAnsi="宋体" w:cs="宋体"/>
          <w:color w:val="auto"/>
          <w:sz w:val="21"/>
          <w:szCs w:val="21"/>
          <w:highlight w:val="none"/>
        </w:rPr>
      </w:pPr>
      <w:bookmarkStart w:id="55" w:name="_Toc5505"/>
      <w:bookmarkStart w:id="56" w:name="_Toc57905893"/>
      <w:r>
        <w:rPr>
          <w:rFonts w:ascii="宋体" w:hAnsi="宋体" w:cs="宋体"/>
          <w:color w:val="auto"/>
          <w:sz w:val="21"/>
          <w:szCs w:val="21"/>
          <w:highlight w:val="none"/>
        </w:rPr>
        <w:t>3.</w:t>
      </w:r>
      <w:r>
        <w:rPr>
          <w:rFonts w:hint="eastAsia" w:ascii="宋体" w:hAnsi="宋体" w:cs="宋体"/>
          <w:color w:val="auto"/>
          <w:sz w:val="21"/>
          <w:szCs w:val="21"/>
          <w:highlight w:val="none"/>
        </w:rPr>
        <w:t>3</w:t>
      </w:r>
      <w:r>
        <w:rPr>
          <w:rFonts w:ascii="宋体" w:hAnsi="宋体" w:cs="宋体"/>
          <w:color w:val="auto"/>
          <w:sz w:val="21"/>
          <w:szCs w:val="21"/>
          <w:highlight w:val="none"/>
        </w:rPr>
        <w:t xml:space="preserve"> </w:t>
      </w:r>
      <w:r>
        <w:rPr>
          <w:rFonts w:hint="eastAsia" w:ascii="宋体" w:hAnsi="宋体" w:cs="宋体"/>
          <w:color w:val="auto"/>
          <w:sz w:val="21"/>
          <w:szCs w:val="21"/>
          <w:highlight w:val="none"/>
          <w:lang w:eastAsia="zh-CN"/>
        </w:rPr>
        <w:t>参选</w:t>
      </w:r>
      <w:r>
        <w:rPr>
          <w:rFonts w:hint="eastAsia" w:ascii="宋体" w:hAnsi="宋体" w:cs="宋体"/>
          <w:color w:val="auto"/>
          <w:sz w:val="21"/>
          <w:szCs w:val="21"/>
          <w:highlight w:val="none"/>
        </w:rPr>
        <w:t>文件的澄清和补正</w:t>
      </w:r>
      <w:bookmarkEnd w:id="55"/>
      <w:bookmarkEnd w:id="56"/>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w:t>
      </w:r>
      <w:r>
        <w:rPr>
          <w:rFonts w:ascii="宋体" w:hAnsi="宋体" w:cs="宋体"/>
          <w:color w:val="auto"/>
          <w:szCs w:val="21"/>
          <w:highlight w:val="none"/>
        </w:rPr>
        <w:t xml:space="preserve">.1 </w:t>
      </w:r>
      <w:r>
        <w:rPr>
          <w:rFonts w:hint="eastAsia" w:ascii="宋体" w:hAnsi="宋体" w:cs="宋体"/>
          <w:color w:val="auto"/>
          <w:szCs w:val="21"/>
          <w:highlight w:val="none"/>
        </w:rPr>
        <w:t>在评标过程中，</w:t>
      </w:r>
      <w:r>
        <w:rPr>
          <w:rFonts w:hint="eastAsia" w:ascii="宋体" w:hAnsi="宋体" w:cs="宋体"/>
          <w:color w:val="auto"/>
          <w:szCs w:val="21"/>
          <w:highlight w:val="none"/>
          <w:lang w:eastAsia="zh-CN"/>
        </w:rPr>
        <w:t>公开比选委员会</w:t>
      </w:r>
      <w:r>
        <w:rPr>
          <w:rFonts w:hint="eastAsia" w:ascii="宋体" w:hAnsi="宋体" w:cs="宋体"/>
          <w:color w:val="auto"/>
          <w:szCs w:val="21"/>
          <w:highlight w:val="none"/>
        </w:rPr>
        <w:t>可以书面形式要求</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人对所提交</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文件中不明确的内容进行书面澄清或说明，或者对细微偏差进行补正。</w:t>
      </w:r>
      <w:r>
        <w:rPr>
          <w:rFonts w:hint="eastAsia" w:ascii="宋体" w:hAnsi="宋体" w:cs="宋体"/>
          <w:color w:val="auto"/>
          <w:szCs w:val="21"/>
          <w:highlight w:val="none"/>
          <w:lang w:eastAsia="zh-CN"/>
        </w:rPr>
        <w:t>公开比选委员会</w:t>
      </w:r>
      <w:r>
        <w:rPr>
          <w:rFonts w:hint="eastAsia" w:ascii="宋体" w:hAnsi="宋体" w:cs="宋体"/>
          <w:color w:val="auto"/>
          <w:szCs w:val="21"/>
          <w:highlight w:val="none"/>
        </w:rPr>
        <w:t>不接受</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人主动提出的澄清、说明或补正。</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w:t>
      </w:r>
      <w:r>
        <w:rPr>
          <w:rFonts w:ascii="宋体" w:hAnsi="宋体" w:cs="宋体"/>
          <w:color w:val="auto"/>
          <w:szCs w:val="21"/>
          <w:highlight w:val="none"/>
        </w:rPr>
        <w:t xml:space="preserve">.2 </w:t>
      </w:r>
      <w:r>
        <w:rPr>
          <w:rFonts w:hint="eastAsia" w:ascii="宋体" w:hAnsi="宋体" w:cs="宋体"/>
          <w:color w:val="auto"/>
          <w:szCs w:val="21"/>
          <w:highlight w:val="none"/>
        </w:rPr>
        <w:t>澄清、说明和补正不得改变</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文件的实质性内容（算术性错误修正的除外）。</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人的书面澄清、说明和补正属于</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文件的组成部分。</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w:t>
      </w:r>
      <w:r>
        <w:rPr>
          <w:rFonts w:ascii="宋体" w:hAnsi="宋体" w:cs="宋体"/>
          <w:color w:val="auto"/>
          <w:szCs w:val="21"/>
          <w:highlight w:val="none"/>
        </w:rPr>
        <w:t xml:space="preserve">.3 </w:t>
      </w:r>
      <w:r>
        <w:rPr>
          <w:rFonts w:hint="eastAsia" w:ascii="宋体" w:hAnsi="宋体" w:cs="宋体"/>
          <w:color w:val="auto"/>
          <w:szCs w:val="21"/>
          <w:highlight w:val="none"/>
          <w:lang w:eastAsia="zh-CN"/>
        </w:rPr>
        <w:t>公开比选委员会</w:t>
      </w:r>
      <w:r>
        <w:rPr>
          <w:rFonts w:hint="eastAsia" w:ascii="宋体" w:hAnsi="宋体" w:cs="宋体"/>
          <w:color w:val="auto"/>
          <w:szCs w:val="21"/>
          <w:highlight w:val="none"/>
        </w:rPr>
        <w:t>对</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人提交的澄清、说明或补正有疑问的，可以要求</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人进一步澄清、说明或补正，直至满足</w:t>
      </w:r>
      <w:r>
        <w:rPr>
          <w:rFonts w:hint="eastAsia" w:ascii="宋体" w:hAnsi="宋体" w:cs="宋体"/>
          <w:color w:val="auto"/>
          <w:szCs w:val="21"/>
          <w:highlight w:val="none"/>
          <w:lang w:eastAsia="zh-CN"/>
        </w:rPr>
        <w:t>公开比选委员会</w:t>
      </w:r>
      <w:r>
        <w:rPr>
          <w:rFonts w:hint="eastAsia" w:ascii="宋体" w:hAnsi="宋体" w:cs="宋体"/>
          <w:color w:val="auto"/>
          <w:szCs w:val="21"/>
          <w:highlight w:val="none"/>
        </w:rPr>
        <w:t>的要求。</w:t>
      </w:r>
    </w:p>
    <w:p>
      <w:pPr>
        <w:pStyle w:val="5"/>
        <w:spacing w:before="0" w:after="0" w:line="360" w:lineRule="auto"/>
        <w:rPr>
          <w:rFonts w:ascii="宋体" w:hAnsi="宋体" w:cs="宋体"/>
          <w:color w:val="auto"/>
          <w:sz w:val="21"/>
          <w:szCs w:val="21"/>
          <w:highlight w:val="none"/>
        </w:rPr>
      </w:pPr>
      <w:bookmarkStart w:id="57" w:name="_Toc57905894"/>
      <w:bookmarkStart w:id="58" w:name="_Toc26860"/>
      <w:bookmarkStart w:id="59" w:name="_Toc484465184"/>
      <w:bookmarkStart w:id="60" w:name="_Toc479262406"/>
      <w:r>
        <w:rPr>
          <w:rFonts w:ascii="宋体" w:hAnsi="宋体" w:cs="宋体"/>
          <w:color w:val="auto"/>
          <w:sz w:val="21"/>
          <w:szCs w:val="21"/>
          <w:highlight w:val="none"/>
        </w:rPr>
        <w:t>3.</w:t>
      </w:r>
      <w:r>
        <w:rPr>
          <w:rFonts w:hint="eastAsia" w:ascii="宋体" w:hAnsi="宋体" w:cs="宋体"/>
          <w:color w:val="auto"/>
          <w:sz w:val="21"/>
          <w:szCs w:val="21"/>
          <w:highlight w:val="none"/>
        </w:rPr>
        <w:t>4</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评标结果</w:t>
      </w:r>
      <w:bookmarkEnd w:id="57"/>
      <w:bookmarkEnd w:id="58"/>
      <w:bookmarkEnd w:id="59"/>
      <w:bookmarkEnd w:id="60"/>
    </w:p>
    <w:p>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除第二章“</w:t>
      </w:r>
      <w:r>
        <w:rPr>
          <w:rFonts w:hint="eastAsia" w:ascii="宋体" w:hAnsi="宋体" w:cs="宋体"/>
          <w:color w:val="auto"/>
          <w:szCs w:val="21"/>
          <w:highlight w:val="none"/>
          <w:lang w:eastAsia="zh-CN"/>
        </w:rPr>
        <w:t>参选</w:t>
      </w:r>
      <w:r>
        <w:rPr>
          <w:rFonts w:hint="eastAsia" w:ascii="宋体" w:hAnsi="宋体" w:cs="宋体"/>
          <w:color w:val="auto"/>
          <w:szCs w:val="21"/>
          <w:highlight w:val="none"/>
        </w:rPr>
        <w:t>人须知”前附表授权直接确定</w:t>
      </w:r>
      <w:r>
        <w:rPr>
          <w:rFonts w:hint="eastAsia" w:ascii="宋体" w:hAnsi="宋体" w:cs="宋体"/>
          <w:color w:val="auto"/>
          <w:szCs w:val="21"/>
          <w:highlight w:val="none"/>
          <w:lang w:eastAsia="zh-CN"/>
        </w:rPr>
        <w:t>中选</w:t>
      </w:r>
      <w:r>
        <w:rPr>
          <w:rFonts w:hint="eastAsia" w:ascii="宋体" w:hAnsi="宋体" w:cs="宋体"/>
          <w:color w:val="auto"/>
          <w:szCs w:val="21"/>
          <w:highlight w:val="none"/>
        </w:rPr>
        <w:t>人外，</w:t>
      </w:r>
      <w:r>
        <w:rPr>
          <w:rFonts w:hint="eastAsia" w:ascii="宋体" w:hAnsi="宋体" w:cs="宋体"/>
          <w:color w:val="auto"/>
          <w:szCs w:val="21"/>
          <w:highlight w:val="none"/>
          <w:lang w:eastAsia="zh-CN"/>
        </w:rPr>
        <w:t>公开比选委员会</w:t>
      </w:r>
      <w:r>
        <w:rPr>
          <w:rFonts w:hint="eastAsia" w:ascii="宋体" w:hAnsi="宋体" w:cs="宋体"/>
          <w:color w:val="auto"/>
          <w:szCs w:val="21"/>
          <w:highlight w:val="none"/>
        </w:rPr>
        <w:t>按经评审的最低</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价法推荐</w:t>
      </w:r>
      <w:r>
        <w:rPr>
          <w:rFonts w:hint="eastAsia" w:ascii="宋体" w:hAnsi="宋体" w:cs="宋体"/>
          <w:color w:val="auto"/>
          <w:szCs w:val="21"/>
          <w:highlight w:val="none"/>
          <w:lang w:eastAsia="zh-CN"/>
        </w:rPr>
        <w:t>中选</w:t>
      </w:r>
      <w:r>
        <w:rPr>
          <w:rFonts w:hint="eastAsia" w:ascii="宋体" w:hAnsi="宋体" w:cs="宋体"/>
          <w:color w:val="auto"/>
          <w:szCs w:val="21"/>
          <w:highlight w:val="none"/>
        </w:rPr>
        <w:t>候选人。</w:t>
      </w:r>
    </w:p>
    <w:p>
      <w:pPr>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公开比选委员会</w:t>
      </w:r>
      <w:r>
        <w:rPr>
          <w:rFonts w:hint="eastAsia" w:ascii="宋体" w:hAnsi="宋体" w:cs="宋体"/>
          <w:color w:val="auto"/>
          <w:szCs w:val="21"/>
          <w:highlight w:val="none"/>
        </w:rPr>
        <w:t>完成评标后，应当向</w:t>
      </w:r>
      <w:r>
        <w:rPr>
          <w:rFonts w:hint="eastAsia" w:ascii="宋体" w:hAnsi="宋体" w:cs="宋体"/>
          <w:color w:val="auto"/>
          <w:szCs w:val="21"/>
          <w:highlight w:val="none"/>
          <w:lang w:eastAsia="zh-CN"/>
        </w:rPr>
        <w:t>比选</w:t>
      </w:r>
      <w:r>
        <w:rPr>
          <w:rFonts w:hint="eastAsia" w:ascii="宋体" w:hAnsi="宋体" w:cs="宋体"/>
          <w:color w:val="auto"/>
          <w:szCs w:val="21"/>
          <w:highlight w:val="none"/>
        </w:rPr>
        <w:t>人提交书面评标报告</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lang w:eastAsia="zh-CN"/>
        </w:rPr>
        <w:t>中选</w:t>
      </w:r>
      <w:r>
        <w:rPr>
          <w:rFonts w:hint="eastAsia" w:ascii="宋体" w:hAnsi="宋体" w:cs="宋体"/>
          <w:color w:val="auto"/>
          <w:szCs w:val="21"/>
          <w:highlight w:val="none"/>
        </w:rPr>
        <w:t>候选人名单。</w:t>
      </w:r>
    </w:p>
    <w:bookmarkEnd w:id="37"/>
    <w:bookmarkEnd w:id="40"/>
    <w:bookmarkEnd w:id="41"/>
    <w:bookmarkEnd w:id="42"/>
    <w:p>
      <w:pPr>
        <w:autoSpaceDE w:val="0"/>
        <w:autoSpaceDN w:val="0"/>
        <w:adjustRightInd w:val="0"/>
        <w:snapToGrid w:val="0"/>
        <w:spacing w:line="360" w:lineRule="auto"/>
        <w:ind w:firstLine="420" w:firstLineChars="200"/>
        <w:rPr>
          <w:rFonts w:ascii="宋体" w:hAnsi="宋体"/>
          <w:color w:val="auto"/>
          <w:kern w:val="0"/>
          <w:szCs w:val="21"/>
          <w:highlight w:val="none"/>
        </w:rPr>
      </w:pPr>
    </w:p>
    <w:p>
      <w:pPr>
        <w:pStyle w:val="50"/>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rPr>
          <w:color w:val="auto"/>
          <w:highlight w:val="none"/>
        </w:rPr>
      </w:pPr>
    </w:p>
    <w:p>
      <w:pPr>
        <w:pStyle w:val="50"/>
        <w:rPr>
          <w:color w:val="auto"/>
          <w:highlight w:val="none"/>
        </w:rPr>
      </w:pPr>
    </w:p>
    <w:p>
      <w:pPr>
        <w:rPr>
          <w:color w:val="auto"/>
          <w:highlight w:val="none"/>
        </w:rPr>
      </w:pPr>
    </w:p>
    <w:p>
      <w:pPr>
        <w:pStyle w:val="50"/>
        <w:rPr>
          <w:color w:val="auto"/>
          <w:highlight w:val="none"/>
        </w:rPr>
      </w:pPr>
    </w:p>
    <w:p>
      <w:pPr>
        <w:rPr>
          <w:color w:val="auto"/>
          <w:highlight w:val="none"/>
        </w:rPr>
      </w:pPr>
    </w:p>
    <w:p>
      <w:pPr>
        <w:pStyle w:val="50"/>
        <w:rPr>
          <w:color w:val="auto"/>
          <w:highlight w:val="none"/>
        </w:rPr>
      </w:pPr>
    </w:p>
    <w:p>
      <w:pPr>
        <w:rPr>
          <w:color w:val="auto"/>
          <w:highlight w:val="none"/>
        </w:rPr>
      </w:pPr>
    </w:p>
    <w:p>
      <w:pPr>
        <w:pStyle w:val="50"/>
        <w:rPr>
          <w:color w:val="auto"/>
          <w:highlight w:val="none"/>
        </w:rPr>
      </w:pPr>
    </w:p>
    <w:p/>
    <w:p>
      <w:pPr>
        <w:pStyle w:val="39"/>
        <w:spacing w:line="360" w:lineRule="auto"/>
        <w:rPr>
          <w:rFonts w:ascii="宋体" w:hAnsi="宋体"/>
          <w:b/>
          <w:color w:val="auto"/>
          <w:sz w:val="28"/>
          <w:szCs w:val="28"/>
          <w:highlight w:val="none"/>
          <w:u w:val="none"/>
          <w:lang w:eastAsia="zh-CN"/>
        </w:rPr>
      </w:pPr>
      <w:bookmarkStart w:id="61" w:name="_Toc230410480"/>
      <w:bookmarkStart w:id="62" w:name="_Toc277082627"/>
      <w:r>
        <w:rPr>
          <w:rFonts w:ascii="宋体" w:hAnsi="宋体"/>
          <w:b/>
          <w:color w:val="auto"/>
          <w:sz w:val="28"/>
          <w:szCs w:val="28"/>
          <w:highlight w:val="none"/>
          <w:u w:val="none"/>
          <w:lang w:eastAsia="zh-CN"/>
        </w:rPr>
        <w:t>附件A：</w:t>
      </w:r>
      <w:r>
        <w:rPr>
          <w:rFonts w:hint="eastAsia" w:ascii="宋体" w:hAnsi="宋体"/>
          <w:b/>
          <w:color w:val="auto"/>
          <w:sz w:val="28"/>
          <w:szCs w:val="28"/>
          <w:highlight w:val="none"/>
          <w:u w:val="none"/>
          <w:lang w:eastAsia="zh-CN"/>
        </w:rPr>
        <w:t>经评审的最低</w:t>
      </w:r>
      <w:r>
        <w:rPr>
          <w:rFonts w:hint="eastAsia" w:ascii="宋体" w:hAnsi="宋体"/>
          <w:b/>
          <w:color w:val="auto"/>
          <w:sz w:val="28"/>
          <w:szCs w:val="28"/>
          <w:highlight w:val="none"/>
          <w:u w:val="none"/>
          <w:lang w:val="en-US" w:eastAsia="zh-CN"/>
        </w:rPr>
        <w:t>投标</w:t>
      </w:r>
      <w:r>
        <w:rPr>
          <w:rFonts w:hint="eastAsia" w:ascii="宋体" w:hAnsi="宋体"/>
          <w:b/>
          <w:color w:val="auto"/>
          <w:sz w:val="28"/>
          <w:szCs w:val="28"/>
          <w:highlight w:val="none"/>
          <w:u w:val="none"/>
          <w:lang w:eastAsia="zh-CN"/>
        </w:rPr>
        <w:t>价法</w:t>
      </w:r>
      <w:r>
        <w:rPr>
          <w:rFonts w:ascii="宋体" w:hAnsi="宋体"/>
          <w:b/>
          <w:color w:val="auto"/>
          <w:sz w:val="28"/>
          <w:szCs w:val="28"/>
          <w:highlight w:val="none"/>
          <w:u w:val="none"/>
          <w:lang w:eastAsia="zh-CN"/>
        </w:rPr>
        <w:t>否决参选情况一览表</w:t>
      </w:r>
      <w:bookmarkEnd w:id="61"/>
    </w:p>
    <w:bookmarkEnd w:id="62"/>
    <w:p>
      <w:pPr>
        <w:pStyle w:val="39"/>
        <w:spacing w:line="360" w:lineRule="auto"/>
        <w:ind w:firstLine="420" w:firstLineChars="200"/>
        <w:jc w:val="both"/>
        <w:rPr>
          <w:rFonts w:ascii="宋体" w:hAnsi="宋体"/>
          <w:color w:val="auto"/>
          <w:sz w:val="21"/>
          <w:szCs w:val="21"/>
          <w:highlight w:val="none"/>
          <w:u w:val="none"/>
          <w:lang w:eastAsia="zh-CN"/>
        </w:rPr>
      </w:pPr>
      <w:r>
        <w:rPr>
          <w:rFonts w:hint="eastAsia" w:ascii="宋体" w:hAnsi="宋体"/>
          <w:color w:val="auto"/>
          <w:sz w:val="21"/>
          <w:szCs w:val="21"/>
          <w:highlight w:val="none"/>
          <w:u w:val="none"/>
          <w:lang w:eastAsia="zh-CN"/>
        </w:rPr>
        <w:t>参选文件存在本一览表下列情形之一的，参选文件视为重大偏差并作否决参选处理，否则，公开比选委员会不得视为重大偏差而否决参选人的参选文件</w:t>
      </w:r>
      <w:r>
        <w:rPr>
          <w:rFonts w:ascii="宋体" w:hAnsi="宋体"/>
          <w:color w:val="auto"/>
          <w:sz w:val="21"/>
          <w:szCs w:val="21"/>
          <w:highlight w:val="none"/>
          <w:u w:val="none"/>
          <w:lang w:eastAsia="zh-CN"/>
        </w:rPr>
        <w:t>。</w:t>
      </w:r>
    </w:p>
    <w:tbl>
      <w:tblPr>
        <w:tblStyle w:val="54"/>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237"/>
        <w:gridCol w:w="1899"/>
        <w:gridCol w:w="6333"/>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noWrap w:val="0"/>
            <w:vAlign w:val="center"/>
          </w:tcPr>
          <w:p>
            <w:pPr>
              <w:spacing w:line="400" w:lineRule="exact"/>
              <w:jc w:val="center"/>
              <w:rPr>
                <w:rFonts w:ascii="宋体" w:hAnsi="宋体"/>
                <w:b/>
                <w:color w:val="auto"/>
                <w:szCs w:val="21"/>
                <w:highlight w:val="none"/>
              </w:rPr>
            </w:pPr>
            <w:r>
              <w:rPr>
                <w:rFonts w:ascii="宋体" w:hAnsi="宋体"/>
                <w:b/>
                <w:color w:val="auto"/>
                <w:szCs w:val="21"/>
                <w:highlight w:val="none"/>
              </w:rPr>
              <w:t>章节号</w:t>
            </w:r>
          </w:p>
        </w:tc>
        <w:tc>
          <w:tcPr>
            <w:tcW w:w="1899" w:type="dxa"/>
            <w:noWrap w:val="0"/>
            <w:vAlign w:val="center"/>
          </w:tcPr>
          <w:p>
            <w:pPr>
              <w:spacing w:line="400" w:lineRule="exact"/>
              <w:jc w:val="center"/>
              <w:rPr>
                <w:rFonts w:ascii="宋体" w:hAnsi="宋体"/>
                <w:b/>
                <w:color w:val="auto"/>
                <w:szCs w:val="21"/>
                <w:highlight w:val="none"/>
              </w:rPr>
            </w:pPr>
            <w:r>
              <w:rPr>
                <w:rFonts w:ascii="宋体" w:hAnsi="宋体"/>
                <w:b/>
                <w:color w:val="auto"/>
                <w:szCs w:val="21"/>
                <w:highlight w:val="none"/>
              </w:rPr>
              <w:t>条款名称</w:t>
            </w:r>
          </w:p>
        </w:tc>
        <w:tc>
          <w:tcPr>
            <w:tcW w:w="6333" w:type="dxa"/>
            <w:noWrap w:val="0"/>
            <w:vAlign w:val="center"/>
          </w:tcPr>
          <w:p>
            <w:pPr>
              <w:spacing w:line="400" w:lineRule="exact"/>
              <w:jc w:val="center"/>
              <w:rPr>
                <w:rFonts w:ascii="宋体" w:hAnsi="宋体"/>
                <w:b/>
                <w:color w:val="auto"/>
                <w:szCs w:val="21"/>
                <w:highlight w:val="none"/>
              </w:rPr>
            </w:pPr>
            <w:r>
              <w:rPr>
                <w:rFonts w:ascii="宋体" w:hAnsi="宋体"/>
                <w:b/>
                <w:color w:val="auto"/>
                <w:szCs w:val="21"/>
                <w:highlight w:val="none"/>
              </w:rPr>
              <w:t>否决参选条件</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37" w:type="dxa"/>
            <w:vMerge w:val="restart"/>
            <w:noWrap w:val="0"/>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第三章</w:t>
            </w:r>
          </w:p>
        </w:tc>
        <w:tc>
          <w:tcPr>
            <w:tcW w:w="1899" w:type="dxa"/>
            <w:noWrap w:val="0"/>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资格评审</w:t>
            </w:r>
          </w:p>
        </w:tc>
        <w:tc>
          <w:tcPr>
            <w:tcW w:w="6333" w:type="dxa"/>
            <w:noWrap w:val="0"/>
            <w:vAlign w:val="center"/>
          </w:tcPr>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参选人资质条件、能力和信誉须满足参选人须知</w:t>
            </w:r>
            <w:r>
              <w:rPr>
                <w:rFonts w:hint="eastAsia" w:ascii="宋体" w:hAnsi="宋体"/>
                <w:color w:val="auto"/>
                <w:szCs w:val="21"/>
                <w:highlight w:val="none"/>
                <w:lang w:val="en-US" w:eastAsia="zh-CN"/>
              </w:rPr>
              <w:t>第10</w:t>
            </w:r>
            <w:r>
              <w:rPr>
                <w:rFonts w:hint="eastAsia" w:ascii="宋体" w:hAnsi="宋体"/>
                <w:color w:val="auto"/>
                <w:szCs w:val="21"/>
                <w:highlight w:val="none"/>
              </w:rPr>
              <w:t>项的要求，否则由公开比选委员会作否决参选处理。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restart"/>
            <w:noWrap w:val="0"/>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形式评审</w:t>
            </w:r>
          </w:p>
        </w:tc>
        <w:tc>
          <w:tcPr>
            <w:tcW w:w="6333" w:type="dxa"/>
            <w:noWrap w:val="0"/>
            <w:vAlign w:val="top"/>
          </w:tcPr>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参选人名称必须与营业执照一致，依法变更名称的应提交相应证明材料，</w:t>
            </w:r>
            <w:r>
              <w:rPr>
                <w:rFonts w:ascii="宋体" w:hAnsi="宋体"/>
                <w:color w:val="auto"/>
                <w:szCs w:val="21"/>
                <w:highlight w:val="none"/>
              </w:rPr>
              <w:t>否则</w:t>
            </w:r>
            <w:r>
              <w:rPr>
                <w:rFonts w:hint="eastAsia" w:ascii="宋体" w:hAnsi="宋体"/>
                <w:color w:val="auto"/>
                <w:szCs w:val="21"/>
                <w:highlight w:val="none"/>
              </w:rPr>
              <w:t>由公开比选委员会</w:t>
            </w:r>
            <w:r>
              <w:rPr>
                <w:rFonts w:ascii="宋体" w:hAnsi="宋体"/>
                <w:color w:val="auto"/>
                <w:szCs w:val="21"/>
                <w:highlight w:val="none"/>
              </w:rPr>
              <w:t>作否决参选处理。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continue"/>
            <w:noWrap w:val="0"/>
            <w:vAlign w:val="center"/>
          </w:tcPr>
          <w:p>
            <w:pPr>
              <w:spacing w:line="400" w:lineRule="exact"/>
              <w:jc w:val="center"/>
              <w:rPr>
                <w:rFonts w:ascii="宋体" w:hAnsi="宋体"/>
                <w:color w:val="auto"/>
                <w:szCs w:val="21"/>
                <w:highlight w:val="none"/>
              </w:rPr>
            </w:pPr>
          </w:p>
        </w:tc>
        <w:tc>
          <w:tcPr>
            <w:tcW w:w="6333" w:type="dxa"/>
            <w:noWrap w:val="0"/>
            <w:vAlign w:val="top"/>
          </w:tcPr>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参选函格式规定签字、盖章的位置有法定代表人或其委托代理人签字（或盖章）、加盖单位公章，否则由公开比选委员会作否决参选处理。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continue"/>
            <w:noWrap w:val="0"/>
            <w:vAlign w:val="center"/>
          </w:tcPr>
          <w:p>
            <w:pPr>
              <w:spacing w:line="400" w:lineRule="exact"/>
              <w:jc w:val="center"/>
              <w:rPr>
                <w:rFonts w:ascii="宋体" w:hAnsi="宋体"/>
                <w:color w:val="auto"/>
                <w:szCs w:val="21"/>
                <w:highlight w:val="none"/>
              </w:rPr>
            </w:pPr>
          </w:p>
        </w:tc>
        <w:tc>
          <w:tcPr>
            <w:tcW w:w="6333" w:type="dxa"/>
            <w:noWrap w:val="0"/>
            <w:vAlign w:val="top"/>
          </w:tcPr>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参选文件格式符合第二章“参选人须知”第</w:t>
            </w:r>
            <w:r>
              <w:rPr>
                <w:rFonts w:hint="eastAsia" w:ascii="宋体" w:hAnsi="宋体"/>
                <w:color w:val="auto"/>
                <w:szCs w:val="21"/>
                <w:highlight w:val="none"/>
                <w:lang w:val="en-US" w:eastAsia="zh-CN"/>
              </w:rPr>
              <w:t>21项</w:t>
            </w:r>
            <w:r>
              <w:rPr>
                <w:rFonts w:hint="eastAsia" w:ascii="宋体" w:hAnsi="宋体"/>
                <w:color w:val="auto"/>
                <w:szCs w:val="21"/>
                <w:highlight w:val="none"/>
              </w:rPr>
              <w:t>的要求，否则由公开比选委员会作否决参选处理。</w:t>
            </w:r>
          </w:p>
          <w:p>
            <w:pPr>
              <w:spacing w:line="400" w:lineRule="exact"/>
              <w:ind w:firstLine="420" w:firstLineChars="200"/>
              <w:rPr>
                <w:rFonts w:ascii="宋体" w:hAnsi="宋体"/>
                <w:color w:val="auto"/>
                <w:szCs w:val="21"/>
                <w:highlight w:val="none"/>
              </w:rPr>
            </w:pPr>
            <w:r>
              <w:rPr>
                <w:rFonts w:hint="eastAsia" w:ascii="宋体" w:hAnsi="宋体"/>
                <w:color w:val="auto"/>
                <w:kern w:val="0"/>
                <w:szCs w:val="21"/>
                <w:highlight w:val="none"/>
              </w:rPr>
              <w:t>编制参选文件时不得对第六章“参选文件格式”的相应要素作实质性修改，否则由公开比选委员会作否决参选处理。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continue"/>
            <w:noWrap w:val="0"/>
            <w:vAlign w:val="center"/>
          </w:tcPr>
          <w:p>
            <w:pPr>
              <w:spacing w:line="400" w:lineRule="exact"/>
              <w:jc w:val="center"/>
              <w:rPr>
                <w:rFonts w:ascii="宋体" w:hAnsi="宋体"/>
                <w:color w:val="auto"/>
                <w:szCs w:val="21"/>
                <w:highlight w:val="none"/>
              </w:rPr>
            </w:pPr>
          </w:p>
        </w:tc>
        <w:tc>
          <w:tcPr>
            <w:tcW w:w="6333" w:type="dxa"/>
            <w:noWrap w:val="0"/>
            <w:vAlign w:val="top"/>
          </w:tcPr>
          <w:p>
            <w:pPr>
              <w:autoSpaceDE w:val="0"/>
              <w:autoSpaceDN w:val="0"/>
              <w:adjustRightInd w:val="0"/>
              <w:snapToGrid w:val="0"/>
              <w:spacing w:line="400" w:lineRule="exact"/>
              <w:ind w:firstLine="420" w:firstLineChars="200"/>
              <w:rPr>
                <w:rFonts w:ascii="宋体" w:hAnsi="宋体"/>
                <w:i/>
                <w:color w:val="auto"/>
                <w:szCs w:val="21"/>
                <w:highlight w:val="none"/>
              </w:rPr>
            </w:pPr>
            <w:r>
              <w:rPr>
                <w:rFonts w:hint="eastAsia" w:ascii="宋体" w:hAnsi="宋体"/>
                <w:color w:val="auto"/>
                <w:szCs w:val="21"/>
                <w:highlight w:val="none"/>
              </w:rPr>
              <w:t>参选文件份数符合第二章“参选人须知”第</w:t>
            </w:r>
            <w:r>
              <w:rPr>
                <w:rFonts w:hint="eastAsia" w:ascii="宋体" w:hAnsi="宋体"/>
                <w:color w:val="auto"/>
                <w:szCs w:val="21"/>
                <w:highlight w:val="none"/>
                <w:lang w:val="en-US" w:eastAsia="zh-CN"/>
              </w:rPr>
              <w:t>22</w:t>
            </w:r>
            <w:r>
              <w:rPr>
                <w:rFonts w:hint="eastAsia" w:ascii="宋体" w:hAnsi="宋体"/>
                <w:color w:val="auto"/>
                <w:szCs w:val="21"/>
                <w:highlight w:val="none"/>
              </w:rPr>
              <w:t>项的规定，</w:t>
            </w:r>
            <w:r>
              <w:rPr>
                <w:rFonts w:hint="eastAsia" w:ascii="宋体" w:hAnsi="宋体"/>
                <w:color w:val="auto"/>
                <w:kern w:val="0"/>
                <w:szCs w:val="21"/>
                <w:highlight w:val="none"/>
              </w:rPr>
              <w:t>否则由公开比选委员会作否决参选处理。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continue"/>
            <w:noWrap w:val="0"/>
            <w:vAlign w:val="center"/>
          </w:tcPr>
          <w:p>
            <w:pPr>
              <w:spacing w:line="400" w:lineRule="exact"/>
              <w:jc w:val="center"/>
              <w:rPr>
                <w:rFonts w:ascii="宋体" w:hAnsi="宋体"/>
                <w:color w:val="auto"/>
                <w:szCs w:val="21"/>
                <w:highlight w:val="none"/>
              </w:rPr>
            </w:pPr>
          </w:p>
        </w:tc>
        <w:tc>
          <w:tcPr>
            <w:tcW w:w="6333" w:type="dxa"/>
            <w:noWrap w:val="0"/>
            <w:vAlign w:val="top"/>
          </w:tcPr>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只能有一个有效报价。在比选文件没有规定的情况下，不得提交选择性报价，否则由公开比选委员会作否决参选处理。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continue"/>
            <w:noWrap w:val="0"/>
            <w:vAlign w:val="center"/>
          </w:tcPr>
          <w:p>
            <w:pPr>
              <w:spacing w:line="400" w:lineRule="exact"/>
              <w:jc w:val="center"/>
              <w:rPr>
                <w:rFonts w:ascii="宋体" w:hAnsi="宋体"/>
                <w:color w:val="auto"/>
                <w:szCs w:val="21"/>
                <w:highlight w:val="none"/>
              </w:rPr>
            </w:pPr>
          </w:p>
        </w:tc>
        <w:tc>
          <w:tcPr>
            <w:tcW w:w="6333" w:type="dxa"/>
            <w:noWrap w:val="0"/>
            <w:vAlign w:val="top"/>
          </w:tcPr>
          <w:p>
            <w:pPr>
              <w:autoSpaceDE w:val="0"/>
              <w:autoSpaceDN w:val="0"/>
              <w:adjustRightInd w:val="0"/>
              <w:snapToGrid w:val="0"/>
              <w:spacing w:line="400" w:lineRule="exact"/>
              <w:ind w:firstLine="420" w:firstLineChars="200"/>
              <w:rPr>
                <w:rFonts w:ascii="宋体" w:hAnsi="宋体"/>
                <w:color w:val="auto"/>
                <w:szCs w:val="21"/>
                <w:highlight w:val="none"/>
              </w:rPr>
            </w:pPr>
            <w:r>
              <w:rPr>
                <w:rFonts w:hint="eastAsia" w:ascii="宋体" w:hAnsi="宋体" w:cs="宋体"/>
                <w:color w:val="auto"/>
                <w:kern w:val="0"/>
                <w:highlight w:val="none"/>
              </w:rPr>
              <w:t>第六章 参选文件格式要求法定代表人或其委托代理人签字（或盖章）的须齐全。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restart"/>
            <w:noWrap w:val="0"/>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响应性评审</w:t>
            </w:r>
          </w:p>
        </w:tc>
        <w:tc>
          <w:tcPr>
            <w:tcW w:w="6333" w:type="dxa"/>
            <w:noWrap w:val="0"/>
            <w:vAlign w:val="center"/>
          </w:tcPr>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参选报价不得高于比选人公布的参选报价最高限价，否则由公开比选委员会作否决参选处理。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continue"/>
            <w:noWrap w:val="0"/>
            <w:vAlign w:val="center"/>
          </w:tcPr>
          <w:p>
            <w:pPr>
              <w:spacing w:line="400" w:lineRule="exact"/>
              <w:jc w:val="center"/>
              <w:rPr>
                <w:rFonts w:ascii="宋体" w:hAnsi="宋体"/>
                <w:color w:val="auto"/>
                <w:szCs w:val="21"/>
                <w:highlight w:val="none"/>
              </w:rPr>
            </w:pPr>
          </w:p>
        </w:tc>
        <w:tc>
          <w:tcPr>
            <w:tcW w:w="6333" w:type="dxa"/>
            <w:noWrap w:val="0"/>
            <w:vAlign w:val="center"/>
          </w:tcPr>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参选内容符合第二章“参选人须知”第</w:t>
            </w:r>
            <w:r>
              <w:rPr>
                <w:rFonts w:hint="eastAsia" w:ascii="宋体" w:hAnsi="宋体"/>
                <w:color w:val="auto"/>
                <w:szCs w:val="21"/>
                <w:highlight w:val="none"/>
                <w:lang w:val="en-US" w:eastAsia="zh-CN"/>
              </w:rPr>
              <w:t>7</w:t>
            </w:r>
            <w:r>
              <w:rPr>
                <w:rFonts w:hint="eastAsia" w:ascii="宋体" w:hAnsi="宋体"/>
                <w:color w:val="auto"/>
                <w:szCs w:val="21"/>
                <w:highlight w:val="none"/>
              </w:rPr>
              <w:t>项规定，否则由公开比选委员会作否决参选处理。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continue"/>
            <w:noWrap w:val="0"/>
            <w:vAlign w:val="center"/>
          </w:tcPr>
          <w:p>
            <w:pPr>
              <w:spacing w:line="400" w:lineRule="exact"/>
              <w:jc w:val="center"/>
              <w:rPr>
                <w:rFonts w:ascii="宋体" w:hAnsi="宋体"/>
                <w:color w:val="auto"/>
                <w:szCs w:val="21"/>
                <w:highlight w:val="none"/>
              </w:rPr>
            </w:pPr>
          </w:p>
        </w:tc>
        <w:tc>
          <w:tcPr>
            <w:tcW w:w="6333" w:type="dxa"/>
            <w:noWrap w:val="0"/>
            <w:vAlign w:val="center"/>
          </w:tcPr>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工期符合第二章“参选人须知”第</w:t>
            </w:r>
            <w:r>
              <w:rPr>
                <w:rFonts w:hint="eastAsia" w:ascii="宋体" w:hAnsi="宋体"/>
                <w:color w:val="auto"/>
                <w:szCs w:val="21"/>
                <w:highlight w:val="none"/>
                <w:lang w:val="en-US" w:eastAsia="zh-CN"/>
              </w:rPr>
              <w:t>8</w:t>
            </w:r>
            <w:r>
              <w:rPr>
                <w:rFonts w:hint="eastAsia" w:ascii="宋体" w:hAnsi="宋体"/>
                <w:color w:val="auto"/>
                <w:szCs w:val="21"/>
                <w:highlight w:val="none"/>
              </w:rPr>
              <w:t>项规定，否则由公开比选委员会作否决参选处理。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continue"/>
            <w:noWrap w:val="0"/>
            <w:vAlign w:val="center"/>
          </w:tcPr>
          <w:p>
            <w:pPr>
              <w:spacing w:line="400" w:lineRule="exact"/>
              <w:jc w:val="center"/>
              <w:rPr>
                <w:rFonts w:ascii="宋体" w:hAnsi="宋体"/>
                <w:color w:val="auto"/>
                <w:szCs w:val="21"/>
                <w:highlight w:val="none"/>
              </w:rPr>
            </w:pPr>
          </w:p>
        </w:tc>
        <w:tc>
          <w:tcPr>
            <w:tcW w:w="6333" w:type="dxa"/>
            <w:noWrap w:val="0"/>
            <w:vAlign w:val="center"/>
          </w:tcPr>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工程质量符合第二章“参选人须知”第</w:t>
            </w:r>
            <w:r>
              <w:rPr>
                <w:rFonts w:hint="eastAsia" w:ascii="宋体" w:hAnsi="宋体"/>
                <w:color w:val="auto"/>
                <w:szCs w:val="21"/>
                <w:highlight w:val="none"/>
                <w:lang w:val="en-US" w:eastAsia="zh-CN"/>
              </w:rPr>
              <w:t>9</w:t>
            </w:r>
            <w:r>
              <w:rPr>
                <w:rFonts w:hint="eastAsia" w:ascii="宋体" w:hAnsi="宋体"/>
                <w:color w:val="auto"/>
                <w:szCs w:val="21"/>
                <w:highlight w:val="none"/>
              </w:rPr>
              <w:t>项规定，否则由公开比选委员会作否决参选处理。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continue"/>
            <w:noWrap w:val="0"/>
            <w:vAlign w:val="center"/>
          </w:tcPr>
          <w:p>
            <w:pPr>
              <w:spacing w:line="400" w:lineRule="exact"/>
              <w:jc w:val="center"/>
              <w:rPr>
                <w:rFonts w:ascii="宋体" w:hAnsi="宋体"/>
                <w:color w:val="auto"/>
                <w:szCs w:val="21"/>
                <w:highlight w:val="none"/>
              </w:rPr>
            </w:pPr>
          </w:p>
        </w:tc>
        <w:tc>
          <w:tcPr>
            <w:tcW w:w="6333" w:type="dxa"/>
            <w:noWrap w:val="0"/>
            <w:vAlign w:val="center"/>
          </w:tcPr>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参选有效期符合第二章“参选人须知”第</w:t>
            </w:r>
            <w:r>
              <w:rPr>
                <w:rFonts w:hint="eastAsia" w:ascii="宋体" w:hAnsi="宋体"/>
                <w:color w:val="auto"/>
                <w:szCs w:val="21"/>
                <w:highlight w:val="none"/>
                <w:lang w:val="en-US" w:eastAsia="zh-CN"/>
              </w:rPr>
              <w:t>19</w:t>
            </w:r>
            <w:r>
              <w:rPr>
                <w:rFonts w:hint="eastAsia" w:ascii="宋体" w:hAnsi="宋体"/>
                <w:color w:val="auto"/>
                <w:szCs w:val="21"/>
                <w:highlight w:val="none"/>
              </w:rPr>
              <w:t>项规定，否则由公开比选委员会作否决参选处理。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continue"/>
            <w:noWrap w:val="0"/>
            <w:vAlign w:val="center"/>
          </w:tcPr>
          <w:p>
            <w:pPr>
              <w:spacing w:line="400" w:lineRule="exact"/>
              <w:jc w:val="center"/>
              <w:rPr>
                <w:rFonts w:ascii="宋体" w:hAnsi="宋体"/>
                <w:color w:val="auto"/>
                <w:szCs w:val="21"/>
                <w:highlight w:val="none"/>
              </w:rPr>
            </w:pPr>
          </w:p>
        </w:tc>
        <w:tc>
          <w:tcPr>
            <w:tcW w:w="6333" w:type="dxa"/>
            <w:noWrap w:val="0"/>
            <w:vAlign w:val="center"/>
          </w:tcPr>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符合第四章“合同主要条款”规定，参选文件不应附有比选人不能接受的条件，否则由公开比选委员会作否决参选处理。（由参选人承诺，承诺书格式自拟。）</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continue"/>
            <w:noWrap w:val="0"/>
            <w:vAlign w:val="center"/>
          </w:tcPr>
          <w:p>
            <w:pPr>
              <w:spacing w:line="400" w:lineRule="exact"/>
              <w:jc w:val="center"/>
              <w:rPr>
                <w:rFonts w:ascii="宋体" w:hAnsi="宋体"/>
                <w:color w:val="auto"/>
                <w:szCs w:val="21"/>
                <w:highlight w:val="none"/>
              </w:rPr>
            </w:pPr>
          </w:p>
        </w:tc>
        <w:tc>
          <w:tcPr>
            <w:tcW w:w="6333" w:type="dxa"/>
            <w:noWrap w:val="0"/>
            <w:vAlign w:val="center"/>
          </w:tcPr>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参选报价有算术错误的，按照第三章“评标办法”第3.</w:t>
            </w:r>
            <w:r>
              <w:rPr>
                <w:rFonts w:hint="eastAsia" w:ascii="宋体" w:hAnsi="宋体"/>
                <w:color w:val="auto"/>
                <w:szCs w:val="21"/>
                <w:highlight w:val="none"/>
                <w:lang w:val="en-US" w:eastAsia="zh-CN"/>
              </w:rPr>
              <w:t>2</w:t>
            </w:r>
            <w:r>
              <w:rPr>
                <w:rFonts w:hint="eastAsia" w:ascii="宋体" w:hAnsi="宋体"/>
                <w:color w:val="auto"/>
                <w:szCs w:val="21"/>
                <w:highlight w:val="none"/>
              </w:rPr>
              <w:t>.3项规定执行，否则由公开比选委员会作否决参选处理</w:t>
            </w:r>
            <w:r>
              <w:rPr>
                <w:rFonts w:ascii="宋体" w:hAnsi="宋体"/>
                <w:color w:val="auto"/>
                <w:szCs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237" w:type="dxa"/>
            <w:vMerge w:val="continue"/>
            <w:noWrap w:val="0"/>
            <w:vAlign w:val="center"/>
          </w:tcPr>
          <w:p>
            <w:pPr>
              <w:spacing w:line="400" w:lineRule="exact"/>
              <w:jc w:val="center"/>
              <w:rPr>
                <w:rFonts w:ascii="宋体" w:hAnsi="宋体"/>
                <w:color w:val="auto"/>
                <w:szCs w:val="21"/>
                <w:highlight w:val="none"/>
              </w:rPr>
            </w:pPr>
          </w:p>
        </w:tc>
        <w:tc>
          <w:tcPr>
            <w:tcW w:w="1899" w:type="dxa"/>
            <w:vMerge w:val="continue"/>
            <w:noWrap w:val="0"/>
            <w:vAlign w:val="center"/>
          </w:tcPr>
          <w:p>
            <w:pPr>
              <w:spacing w:line="400" w:lineRule="exact"/>
              <w:jc w:val="center"/>
              <w:rPr>
                <w:rFonts w:ascii="宋体" w:hAnsi="宋体"/>
                <w:color w:val="auto"/>
                <w:szCs w:val="21"/>
                <w:highlight w:val="none"/>
              </w:rPr>
            </w:pPr>
          </w:p>
        </w:tc>
        <w:tc>
          <w:tcPr>
            <w:tcW w:w="6333" w:type="dxa"/>
            <w:noWrap w:val="0"/>
            <w:vAlign w:val="center"/>
          </w:tcPr>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参选人有以下情形之一的，其参选文件由公开比选委员会</w:t>
            </w:r>
            <w:r>
              <w:rPr>
                <w:rFonts w:ascii="宋体" w:hAnsi="宋体"/>
                <w:color w:val="auto"/>
                <w:szCs w:val="21"/>
                <w:highlight w:val="none"/>
              </w:rPr>
              <w:t>作否决参选处理</w:t>
            </w:r>
            <w:r>
              <w:rPr>
                <w:rFonts w:hint="eastAsia" w:ascii="宋体" w:hAnsi="宋体"/>
                <w:color w:val="auto"/>
                <w:szCs w:val="21"/>
                <w:highlight w:val="none"/>
              </w:rPr>
              <w:t>：</w:t>
            </w:r>
          </w:p>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1.第二章“参选人须知”第</w:t>
            </w:r>
            <w:r>
              <w:rPr>
                <w:rFonts w:hint="eastAsia" w:ascii="宋体" w:hAnsi="宋体"/>
                <w:color w:val="auto"/>
                <w:szCs w:val="21"/>
                <w:highlight w:val="none"/>
                <w:lang w:val="en-US" w:eastAsia="zh-CN"/>
              </w:rPr>
              <w:t>34</w:t>
            </w:r>
            <w:r>
              <w:rPr>
                <w:rFonts w:hint="eastAsia" w:ascii="宋体" w:hAnsi="宋体"/>
                <w:color w:val="auto"/>
                <w:szCs w:val="21"/>
                <w:highlight w:val="none"/>
              </w:rPr>
              <w:t>项规定的任何一种情形的；</w:t>
            </w:r>
          </w:p>
          <w:p>
            <w:pPr>
              <w:spacing w:line="40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.本次参选有串通参选、弄虚作假等违反招参选相关法律、法规的行为的；</w:t>
            </w:r>
          </w:p>
          <w:p>
            <w:pPr>
              <w:spacing w:line="400" w:lineRule="exact"/>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.拒绝按公开比选委员会要求澄清、说明或补正的。</w:t>
            </w:r>
          </w:p>
        </w:tc>
      </w:tr>
    </w:tbl>
    <w:p>
      <w:pPr>
        <w:pStyle w:val="21"/>
        <w:jc w:val="center"/>
        <w:rPr>
          <w:rFonts w:hint="eastAsia"/>
          <w:color w:val="auto"/>
          <w:highlight w:val="none"/>
        </w:rPr>
      </w:pPr>
    </w:p>
    <w:p>
      <w:pPr>
        <w:pStyle w:val="3"/>
        <w:numPr>
          <w:ilvl w:val="0"/>
          <w:numId w:val="0"/>
        </w:numPr>
        <w:bidi w:val="0"/>
        <w:ind w:firstLine="2200" w:firstLineChars="500"/>
        <w:jc w:val="left"/>
        <w:rPr>
          <w:rFonts w:hint="eastAsia"/>
          <w:color w:val="auto"/>
          <w:highlight w:val="none"/>
          <w:lang w:val="en-US" w:eastAsia="zh-CN"/>
        </w:rPr>
      </w:pPr>
      <w:bookmarkStart w:id="63" w:name="_Toc20492"/>
    </w:p>
    <w:p>
      <w:pPr>
        <w:pStyle w:val="3"/>
        <w:numPr>
          <w:ilvl w:val="0"/>
          <w:numId w:val="0"/>
        </w:numPr>
        <w:bidi w:val="0"/>
        <w:ind w:firstLine="2200" w:firstLineChars="500"/>
        <w:jc w:val="left"/>
        <w:rPr>
          <w:rFonts w:hint="eastAsia"/>
          <w:color w:val="auto"/>
          <w:highlight w:val="none"/>
          <w:lang w:val="en-US" w:eastAsia="zh-CN"/>
        </w:rPr>
      </w:pPr>
    </w:p>
    <w:p>
      <w:pPr>
        <w:pStyle w:val="3"/>
        <w:numPr>
          <w:ilvl w:val="0"/>
          <w:numId w:val="0"/>
        </w:numPr>
        <w:bidi w:val="0"/>
        <w:ind w:firstLine="2200" w:firstLineChars="500"/>
        <w:jc w:val="left"/>
        <w:rPr>
          <w:rFonts w:hint="eastAsia"/>
          <w:color w:val="auto"/>
          <w:highlight w:val="none"/>
          <w:lang w:val="en-US" w:eastAsia="zh-CN"/>
        </w:rPr>
      </w:pPr>
    </w:p>
    <w:p>
      <w:pPr>
        <w:pStyle w:val="3"/>
        <w:numPr>
          <w:ilvl w:val="0"/>
          <w:numId w:val="0"/>
        </w:numPr>
        <w:bidi w:val="0"/>
        <w:ind w:firstLine="2200" w:firstLineChars="500"/>
        <w:jc w:val="left"/>
        <w:rPr>
          <w:rFonts w:hint="eastAsia"/>
          <w:color w:val="auto"/>
          <w:highlight w:val="none"/>
          <w:lang w:val="en-US" w:eastAsia="zh-CN"/>
        </w:rPr>
      </w:pPr>
    </w:p>
    <w:p>
      <w:pPr>
        <w:pStyle w:val="3"/>
        <w:numPr>
          <w:ilvl w:val="0"/>
          <w:numId w:val="0"/>
        </w:numPr>
        <w:bidi w:val="0"/>
        <w:ind w:firstLine="2200" w:firstLineChars="500"/>
        <w:jc w:val="left"/>
        <w:rPr>
          <w:rFonts w:hint="eastAsia"/>
          <w:color w:val="auto"/>
          <w:highlight w:val="none"/>
          <w:lang w:val="en-US" w:eastAsia="zh-CN"/>
        </w:rPr>
      </w:pPr>
    </w:p>
    <w:p>
      <w:pPr>
        <w:pStyle w:val="3"/>
        <w:numPr>
          <w:ilvl w:val="0"/>
          <w:numId w:val="0"/>
        </w:numPr>
        <w:bidi w:val="0"/>
        <w:ind w:firstLine="2200" w:firstLineChars="500"/>
        <w:jc w:val="left"/>
        <w:rPr>
          <w:rFonts w:hint="eastAsia"/>
          <w:color w:val="auto"/>
          <w:highlight w:val="none"/>
          <w:lang w:val="en-US" w:eastAsia="zh-CN"/>
        </w:rPr>
      </w:pPr>
    </w:p>
    <w:p>
      <w:pPr>
        <w:pStyle w:val="3"/>
        <w:numPr>
          <w:ilvl w:val="0"/>
          <w:numId w:val="0"/>
        </w:numPr>
        <w:bidi w:val="0"/>
        <w:ind w:firstLine="2200" w:firstLineChars="500"/>
        <w:jc w:val="left"/>
        <w:rPr>
          <w:rFonts w:hint="eastAsia"/>
          <w:color w:val="auto"/>
          <w:highlight w:val="none"/>
          <w:lang w:val="en-US" w:eastAsia="zh-CN"/>
        </w:rPr>
      </w:pPr>
    </w:p>
    <w:p>
      <w:pPr>
        <w:pStyle w:val="3"/>
        <w:numPr>
          <w:ilvl w:val="0"/>
          <w:numId w:val="0"/>
        </w:numPr>
        <w:bidi w:val="0"/>
        <w:ind w:firstLine="2200" w:firstLineChars="500"/>
        <w:jc w:val="left"/>
        <w:rPr>
          <w:rFonts w:hint="eastAsia"/>
          <w:color w:val="auto"/>
          <w:highlight w:val="none"/>
          <w:lang w:val="en-US" w:eastAsia="zh-CN"/>
        </w:rPr>
      </w:pPr>
    </w:p>
    <w:p>
      <w:pPr>
        <w:pStyle w:val="3"/>
        <w:numPr>
          <w:ilvl w:val="0"/>
          <w:numId w:val="0"/>
        </w:numPr>
        <w:bidi w:val="0"/>
        <w:ind w:firstLine="2200" w:firstLineChars="500"/>
        <w:jc w:val="left"/>
        <w:rPr>
          <w:rFonts w:hint="eastAsia"/>
          <w:color w:val="auto"/>
          <w:highlight w:val="none"/>
          <w:lang w:val="en-US" w:eastAsia="zh-CN"/>
        </w:rPr>
      </w:pPr>
    </w:p>
    <w:p>
      <w:pPr>
        <w:pStyle w:val="3"/>
        <w:numPr>
          <w:ilvl w:val="0"/>
          <w:numId w:val="0"/>
        </w:numPr>
        <w:bidi w:val="0"/>
        <w:ind w:firstLine="2200" w:firstLineChars="500"/>
        <w:jc w:val="left"/>
        <w:rPr>
          <w:rFonts w:hint="eastAsia"/>
          <w:color w:val="auto"/>
          <w:highlight w:val="none"/>
          <w:lang w:val="en-US" w:eastAsia="zh-CN"/>
        </w:rPr>
      </w:pPr>
    </w:p>
    <w:p>
      <w:pPr>
        <w:pStyle w:val="3"/>
        <w:numPr>
          <w:ilvl w:val="0"/>
          <w:numId w:val="0"/>
        </w:numPr>
        <w:bidi w:val="0"/>
        <w:ind w:firstLine="2200" w:firstLineChars="500"/>
        <w:jc w:val="left"/>
        <w:rPr>
          <w:rFonts w:hint="eastAsia"/>
          <w:color w:val="auto"/>
          <w:highlight w:val="none"/>
          <w:lang w:val="en-US" w:eastAsia="zh-CN"/>
        </w:rPr>
      </w:pPr>
    </w:p>
    <w:p>
      <w:pPr>
        <w:pStyle w:val="3"/>
        <w:numPr>
          <w:ilvl w:val="0"/>
          <w:numId w:val="0"/>
        </w:numPr>
        <w:bidi w:val="0"/>
        <w:ind w:firstLine="2200" w:firstLineChars="500"/>
        <w:jc w:val="left"/>
        <w:rPr>
          <w:rFonts w:hint="eastAsia"/>
          <w:color w:val="auto"/>
          <w:highlight w:val="none"/>
          <w:lang w:val="en-US" w:eastAsia="zh-CN"/>
        </w:rPr>
      </w:pPr>
    </w:p>
    <w:p>
      <w:pPr>
        <w:pStyle w:val="3"/>
        <w:numPr>
          <w:ilvl w:val="0"/>
          <w:numId w:val="0"/>
        </w:numPr>
        <w:bidi w:val="0"/>
        <w:ind w:firstLine="2200" w:firstLineChars="500"/>
        <w:jc w:val="left"/>
        <w:rPr>
          <w:rFonts w:hint="eastAsia"/>
          <w:color w:val="auto"/>
          <w:highlight w:val="none"/>
          <w:lang w:val="en-US" w:eastAsia="zh-CN"/>
        </w:rPr>
      </w:pPr>
    </w:p>
    <w:p>
      <w:pPr>
        <w:pStyle w:val="3"/>
        <w:numPr>
          <w:ilvl w:val="0"/>
          <w:numId w:val="0"/>
        </w:numPr>
        <w:bidi w:val="0"/>
        <w:ind w:firstLine="2200" w:firstLineChars="500"/>
        <w:jc w:val="left"/>
        <w:rPr>
          <w:rFonts w:hint="eastAsia"/>
          <w:color w:val="auto"/>
          <w:highlight w:val="none"/>
        </w:rPr>
      </w:pPr>
      <w:r>
        <w:rPr>
          <w:rFonts w:hint="eastAsia"/>
          <w:color w:val="auto"/>
          <w:highlight w:val="none"/>
          <w:lang w:val="en-US" w:eastAsia="zh-CN"/>
        </w:rPr>
        <w:t xml:space="preserve">第四章  </w:t>
      </w:r>
      <w:r>
        <w:rPr>
          <w:rFonts w:hint="eastAsia"/>
          <w:color w:val="auto"/>
          <w:highlight w:val="none"/>
        </w:rPr>
        <w:t>合同条款及格式</w:t>
      </w:r>
      <w:bookmarkEnd w:id="63"/>
    </w:p>
    <w:p>
      <w:pPr>
        <w:pStyle w:val="21"/>
        <w:rPr>
          <w:rFonts w:hint="eastAsia"/>
          <w:b/>
          <w:bCs/>
          <w:color w:val="auto"/>
          <w:sz w:val="48"/>
          <w:szCs w:val="48"/>
          <w:highlight w:val="none"/>
          <w:lang w:val="en-US" w:eastAsia="zh-CN"/>
        </w:rPr>
      </w:pPr>
      <w:r>
        <w:rPr>
          <w:rFonts w:ascii="宋体" w:hAnsi="宋体" w:cs="宋体"/>
          <w:b/>
          <w:color w:val="auto"/>
          <w:sz w:val="30"/>
          <w:highlight w:val="none"/>
        </w:rPr>
        <w:br w:type="page"/>
      </w:r>
    </w:p>
    <w:p>
      <w:pPr>
        <w:spacing w:line="360" w:lineRule="auto"/>
        <w:jc w:val="center"/>
        <w:rPr>
          <w:rFonts w:hint="eastAsia" w:ascii="方正小标宋_GBK" w:hAnsi="方正小标宋简体" w:eastAsia="方正小标宋_GBK" w:cs="方正小标宋简体"/>
          <w:bCs/>
          <w:sz w:val="40"/>
          <w:szCs w:val="40"/>
          <w:lang w:val="en-US" w:eastAsia="zh-CN"/>
        </w:rPr>
      </w:pPr>
      <w:r>
        <w:rPr>
          <w:rFonts w:hint="eastAsia" w:ascii="方正小标宋_GBK" w:hAnsi="方正小标宋简体" w:eastAsia="方正小标宋_GBK" w:cs="方正小标宋简体"/>
          <w:bCs/>
          <w:sz w:val="40"/>
          <w:szCs w:val="40"/>
          <w:lang w:val="en-US" w:eastAsia="zh-CN"/>
        </w:rPr>
        <w:t>2026年重庆之夜·</w:t>
      </w:r>
      <w:r>
        <w:rPr>
          <w:rFonts w:hint="eastAsia" w:ascii="方正小标宋_GBK" w:hAnsi="方正小标宋简体" w:eastAsia="方正小标宋_GBK" w:cs="方正小标宋简体"/>
          <w:bCs/>
          <w:sz w:val="40"/>
          <w:szCs w:val="40"/>
          <w:lang w:eastAsia="zh-CN"/>
        </w:rPr>
        <w:t>国际光影文化旅游季</w:t>
      </w:r>
      <w:r>
        <w:rPr>
          <w:rFonts w:hint="eastAsia" w:ascii="方正小标宋_GBK" w:hAnsi="方正小标宋简体" w:eastAsia="方正小标宋_GBK" w:cs="方正小标宋简体"/>
          <w:bCs/>
          <w:sz w:val="40"/>
          <w:szCs w:val="40"/>
          <w:lang w:val="en-US" w:eastAsia="zh-CN"/>
        </w:rPr>
        <w:t>总策划编制及内容设计</w:t>
      </w:r>
    </w:p>
    <w:p>
      <w:pPr>
        <w:spacing w:line="360" w:lineRule="auto"/>
        <w:jc w:val="center"/>
        <w:rPr>
          <w:rFonts w:ascii="方正小标宋_GBK" w:hAnsi="方正小标宋简体" w:eastAsia="方正小标宋_GBK" w:cs="方正小标宋简体"/>
          <w:bCs/>
          <w:sz w:val="40"/>
          <w:szCs w:val="40"/>
        </w:rPr>
      </w:pPr>
      <w:r>
        <w:rPr>
          <w:rFonts w:hint="eastAsia" w:ascii="方正小标宋_GBK" w:hAnsi="方正小标宋简体" w:eastAsia="方正小标宋_GBK" w:cs="方正小标宋简体"/>
          <w:bCs/>
          <w:sz w:val="40"/>
          <w:szCs w:val="40"/>
          <w:lang w:val="en-US" w:eastAsia="zh-CN"/>
        </w:rPr>
        <w:t>采购</w:t>
      </w:r>
      <w:r>
        <w:rPr>
          <w:rFonts w:hint="eastAsia" w:ascii="方正小标宋_GBK" w:hAnsi="方正小标宋简体" w:eastAsia="方正小标宋_GBK" w:cs="方正小标宋简体"/>
          <w:bCs/>
          <w:sz w:val="40"/>
          <w:szCs w:val="40"/>
        </w:rPr>
        <w:t>合同</w:t>
      </w:r>
    </w:p>
    <w:p>
      <w:pPr>
        <w:spacing w:line="360" w:lineRule="auto"/>
        <w:jc w:val="center"/>
        <w:rPr>
          <w:rFonts w:ascii="宋体" w:hAnsi="宋体"/>
          <w:b/>
          <w:szCs w:val="21"/>
        </w:rPr>
      </w:pPr>
    </w:p>
    <w:p>
      <w:pPr>
        <w:spacing w:line="360" w:lineRule="auto"/>
        <w:rPr>
          <w:color w:val="000000"/>
          <w:szCs w:val="21"/>
        </w:rPr>
      </w:pPr>
      <w:r>
        <w:rPr>
          <w:rFonts w:hint="eastAsia"/>
          <w:color w:val="000000"/>
          <w:szCs w:val="21"/>
          <w:lang w:val="en-US" w:eastAsia="zh-CN"/>
        </w:rPr>
        <w:t>甲方</w:t>
      </w:r>
      <w:r>
        <w:rPr>
          <w:rFonts w:hint="eastAsia"/>
          <w:color w:val="000000"/>
          <w:szCs w:val="21"/>
        </w:rPr>
        <w:t>：</w:t>
      </w:r>
      <w:r>
        <w:rPr>
          <w:rFonts w:hint="eastAsia"/>
          <w:color w:val="000000"/>
          <w:szCs w:val="21"/>
          <w:u w:val="single"/>
        </w:rPr>
        <w:t>重庆山水城文化旅游发展有限公司</w:t>
      </w:r>
      <w:r>
        <w:rPr>
          <w:rFonts w:hint="eastAsia"/>
          <w:szCs w:val="21"/>
          <w:u w:val="single"/>
        </w:rPr>
        <w:t xml:space="preserve">     </w:t>
      </w:r>
      <w:r>
        <w:rPr>
          <w:rFonts w:hint="eastAsia"/>
          <w:color w:val="000000"/>
          <w:szCs w:val="21"/>
          <w:u w:val="single"/>
        </w:rPr>
        <w:t xml:space="preserve">     </w:t>
      </w:r>
      <w:r>
        <w:rPr>
          <w:rFonts w:hint="eastAsia"/>
          <w:color w:val="000000"/>
          <w:szCs w:val="21"/>
        </w:rPr>
        <w:t xml:space="preserve"> </w:t>
      </w:r>
    </w:p>
    <w:p>
      <w:pPr>
        <w:spacing w:line="360" w:lineRule="auto"/>
        <w:rPr>
          <w:b/>
          <w:szCs w:val="21"/>
        </w:rPr>
      </w:pPr>
      <w:r>
        <w:rPr>
          <w:rFonts w:hint="eastAsia"/>
          <w:szCs w:val="21"/>
          <w:lang w:val="en-US" w:eastAsia="zh-CN"/>
        </w:rPr>
        <w:t>乙方</w:t>
      </w:r>
      <w:r>
        <w:rPr>
          <w:rFonts w:hint="eastAsia"/>
          <w:szCs w:val="21"/>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p>
    <w:p>
      <w:pPr>
        <w:spacing w:line="360" w:lineRule="auto"/>
        <w:rPr>
          <w:rFonts w:ascii="Arial" w:hAnsi="Arial" w:cs="Arial"/>
          <w:color w:val="000000"/>
          <w:kern w:val="0"/>
          <w:szCs w:val="21"/>
        </w:rPr>
      </w:pPr>
      <w:r>
        <w:rPr>
          <w:rFonts w:hint="eastAsia" w:ascii="Arial" w:hAnsi="Arial" w:cs="Arial"/>
          <w:color w:val="000000"/>
          <w:kern w:val="0"/>
          <w:szCs w:val="21"/>
        </w:rPr>
        <w:t xml:space="preserve">   </w:t>
      </w:r>
    </w:p>
    <w:p>
      <w:pPr>
        <w:spacing w:line="360" w:lineRule="auto"/>
        <w:ind w:firstLine="420" w:firstLineChars="200"/>
        <w:rPr>
          <w:color w:val="000000"/>
          <w:szCs w:val="21"/>
        </w:rPr>
      </w:pPr>
      <w:r>
        <w:rPr>
          <w:rFonts w:ascii="Arial" w:hAnsi="Arial" w:cs="Arial"/>
          <w:color w:val="000000"/>
          <w:kern w:val="0"/>
          <w:szCs w:val="21"/>
        </w:rPr>
        <w:t>甲</w:t>
      </w:r>
      <w:r>
        <w:rPr>
          <w:rFonts w:hint="eastAsia" w:ascii="Arial" w:hAnsi="Arial" w:cs="Arial"/>
          <w:color w:val="000000"/>
          <w:kern w:val="0"/>
          <w:szCs w:val="21"/>
        </w:rPr>
        <w:t>、</w:t>
      </w:r>
      <w:r>
        <w:rPr>
          <w:rFonts w:ascii="Arial" w:hAnsi="Arial" w:cs="Arial"/>
          <w:color w:val="000000"/>
          <w:kern w:val="0"/>
          <w:szCs w:val="21"/>
        </w:rPr>
        <w:t>乙双方依据《中华人民共和国</w:t>
      </w:r>
      <w:r>
        <w:rPr>
          <w:rFonts w:hint="eastAsia" w:ascii="Arial" w:hAnsi="Arial" w:cs="Arial"/>
          <w:color w:val="000000"/>
          <w:kern w:val="0"/>
          <w:szCs w:val="21"/>
        </w:rPr>
        <w:t>民法典</w:t>
      </w:r>
      <w:r>
        <w:rPr>
          <w:rFonts w:ascii="Arial" w:hAnsi="Arial" w:cs="Arial"/>
          <w:color w:val="000000"/>
          <w:kern w:val="0"/>
          <w:szCs w:val="21"/>
        </w:rPr>
        <w:t>》和有关</w:t>
      </w:r>
      <w:r>
        <w:rPr>
          <w:rFonts w:hint="eastAsia" w:ascii="Arial" w:hAnsi="Arial" w:cs="Arial"/>
          <w:color w:val="000000"/>
          <w:kern w:val="0"/>
          <w:szCs w:val="21"/>
        </w:rPr>
        <w:t>法律、</w:t>
      </w:r>
      <w:r>
        <w:rPr>
          <w:rFonts w:ascii="Arial" w:hAnsi="Arial" w:cs="Arial"/>
          <w:color w:val="000000"/>
          <w:kern w:val="0"/>
          <w:szCs w:val="21"/>
        </w:rPr>
        <w:t>法规的规定，</w:t>
      </w:r>
      <w:r>
        <w:rPr>
          <w:rFonts w:hint="eastAsia"/>
          <w:color w:val="000000"/>
          <w:szCs w:val="21"/>
        </w:rPr>
        <w:t>经友好协商，本着平等互利的原则，</w:t>
      </w:r>
      <w:r>
        <w:rPr>
          <w:rFonts w:ascii="Arial" w:hAnsi="Arial" w:cs="Arial"/>
          <w:color w:val="000000"/>
          <w:kern w:val="0"/>
          <w:szCs w:val="21"/>
        </w:rPr>
        <w:t>签订本合同，</w:t>
      </w:r>
      <w:r>
        <w:rPr>
          <w:rFonts w:hint="eastAsia"/>
          <w:color w:val="000000"/>
          <w:szCs w:val="21"/>
        </w:rPr>
        <w:t>以兹共同遵守。</w:t>
      </w:r>
    </w:p>
    <w:p>
      <w:pPr>
        <w:spacing w:line="360" w:lineRule="auto"/>
        <w:rPr>
          <w:b/>
          <w:color w:val="000000"/>
          <w:szCs w:val="21"/>
        </w:rPr>
      </w:pPr>
      <w:r>
        <w:rPr>
          <w:rFonts w:hint="eastAsia"/>
          <w:b/>
          <w:color w:val="000000"/>
          <w:szCs w:val="21"/>
        </w:rPr>
        <w:t>一、</w:t>
      </w:r>
      <w:r>
        <w:rPr>
          <w:rFonts w:hint="eastAsia"/>
          <w:b/>
          <w:color w:val="000000"/>
          <w:szCs w:val="21"/>
          <w:lang w:val="en-US" w:eastAsia="zh-CN"/>
        </w:rPr>
        <w:t>采购</w:t>
      </w:r>
      <w:r>
        <w:rPr>
          <w:rFonts w:hint="eastAsia"/>
          <w:b/>
          <w:color w:val="000000"/>
          <w:szCs w:val="21"/>
        </w:rPr>
        <w:t>事宜：</w:t>
      </w:r>
    </w:p>
    <w:p>
      <w:pPr>
        <w:pStyle w:val="2"/>
        <w:rPr>
          <w:rFonts w:hint="eastAsia" w:ascii="宋体" w:hAnsi="宋体" w:cs="宋体"/>
          <w:bCs/>
          <w:color w:val="auto"/>
          <w:kern w:val="0"/>
          <w:sz w:val="28"/>
          <w:szCs w:val="28"/>
          <w:highlight w:val="none"/>
          <w:lang w:val="en-US" w:eastAsia="zh-CN"/>
        </w:rPr>
      </w:pPr>
      <w:r>
        <w:rPr>
          <w:rFonts w:hint="eastAsia" w:ascii="宋体" w:hAnsi="宋体" w:cs="宋体"/>
          <w:bCs/>
          <w:color w:val="auto"/>
          <w:kern w:val="0"/>
          <w:sz w:val="20"/>
          <w:szCs w:val="20"/>
          <w:highlight w:val="none"/>
          <w:lang w:val="en-US" w:eastAsia="zh-CN"/>
        </w:rPr>
        <w:t>2026年重庆之夜·国际光影文化旅游季进行总策划编制并就光影作品内容进行设计（内容设计拟邀请24个国内外团队对24个光影作品内容进行设计制作并按照支付补偿费用的方式进行），策划及拟已邀约光影作品内容要求如下：</w:t>
      </w:r>
    </w:p>
    <w:p>
      <w:pPr>
        <w:pStyle w:val="2"/>
        <w:jc w:val="center"/>
        <w:rPr>
          <w:rFonts w:hint="eastAsia" w:ascii="方正仿宋_GBK" w:hAnsi="方正仿宋_GBK" w:eastAsia="方正仿宋_GBK" w:cs="方正仿宋_GBK"/>
          <w:bCs/>
          <w:color w:val="auto"/>
          <w:kern w:val="0"/>
          <w:sz w:val="28"/>
          <w:szCs w:val="28"/>
          <w:highlight w:val="none"/>
          <w:lang w:val="en-US" w:eastAsia="zh-CN"/>
        </w:rPr>
      </w:pPr>
      <w:r>
        <w:rPr>
          <w:rFonts w:hint="eastAsia" w:ascii="方正仿宋_GBK" w:hAnsi="方正仿宋_GBK" w:eastAsia="方正仿宋_GBK" w:cs="方正仿宋_GBK"/>
          <w:bCs/>
          <w:color w:val="auto"/>
          <w:kern w:val="0"/>
          <w:sz w:val="28"/>
          <w:szCs w:val="28"/>
          <w:highlight w:val="none"/>
          <w:lang w:val="en-US" w:eastAsia="zh-CN"/>
        </w:rPr>
        <w:t>2026年重庆之夜·国际光影文化旅游季进行总策划编制要求</w:t>
      </w:r>
    </w:p>
    <w:tbl>
      <w:tblPr>
        <w:tblStyle w:val="54"/>
        <w:tblW w:w="97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2"/>
        <w:gridCol w:w="738"/>
        <w:gridCol w:w="862"/>
        <w:gridCol w:w="3800"/>
        <w:gridCol w:w="3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284" w:type="pct"/>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序号</w:t>
            </w:r>
          </w:p>
        </w:tc>
        <w:tc>
          <w:tcPr>
            <w:tcW w:w="380" w:type="pct"/>
            <w:tcBorders>
              <w:top w:val="nil"/>
              <w:left w:val="single" w:color="000000" w:sz="4" w:space="0"/>
              <w:bottom w:val="single" w:color="000000" w:sz="4" w:space="0"/>
              <w:right w:val="single" w:color="000000" w:sz="4" w:space="0"/>
            </w:tcBorders>
            <w:shd w:val="clear" w:color="auto" w:fill="A6A6A6"/>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策划内容</w:t>
            </w:r>
          </w:p>
        </w:tc>
        <w:tc>
          <w:tcPr>
            <w:tcW w:w="2402" w:type="pct"/>
            <w:gridSpan w:val="2"/>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具体内容</w:t>
            </w:r>
          </w:p>
        </w:tc>
        <w:tc>
          <w:tcPr>
            <w:tcW w:w="1932" w:type="pct"/>
            <w:tcBorders>
              <w:top w:val="nil"/>
              <w:left w:val="single" w:color="000000" w:sz="4" w:space="0"/>
              <w:bottom w:val="single" w:color="000000" w:sz="4" w:space="0"/>
              <w:right w:val="single" w:color="000000" w:sz="4" w:space="0"/>
            </w:tcBorders>
            <w:shd w:val="clear" w:color="auto" w:fill="A6A6A6"/>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活动策划</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1.1</w:t>
            </w:r>
          </w:p>
        </w:tc>
        <w:tc>
          <w:tcPr>
            <w:tcW w:w="1958"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重庆国际光影文化旅游节顶层规划</w:t>
            </w:r>
          </w:p>
        </w:tc>
        <w:tc>
          <w:tcPr>
            <w:tcW w:w="193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根据旅游节整体定位及未来目标，制定本届旅游节顶层规划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1.2</w:t>
            </w:r>
          </w:p>
        </w:tc>
        <w:tc>
          <w:tcPr>
            <w:tcW w:w="1958"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重庆国际光影文化旅游节展览策划</w:t>
            </w:r>
          </w:p>
        </w:tc>
        <w:tc>
          <w:tcPr>
            <w:tcW w:w="193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包含展览策划、作品点位策划、赛事策划、宣发策划等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1.3</w:t>
            </w:r>
          </w:p>
        </w:tc>
        <w:tc>
          <w:tcPr>
            <w:tcW w:w="1958"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 xml:space="preserve"> 重庆国际光影文化旅游节系列活动策划</w:t>
            </w:r>
          </w:p>
        </w:tc>
        <w:tc>
          <w:tcPr>
            <w:tcW w:w="193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包含评审会议、颁奖典礼、开幕式、启幕活动、研讨会等系列活动策划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嘉宾邀请</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2.1</w:t>
            </w:r>
          </w:p>
        </w:tc>
        <w:tc>
          <w:tcPr>
            <w:tcW w:w="1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嘉宾邀约</w:t>
            </w:r>
          </w:p>
        </w:tc>
        <w:tc>
          <w:tcPr>
            <w:tcW w:w="19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联系并邀请国际灯光节主办方、行业专家、艺术院校代表参与2026年重庆之夜·国际光影文化旅游节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2.2</w:t>
            </w:r>
          </w:p>
        </w:tc>
        <w:tc>
          <w:tcPr>
            <w:tcW w:w="1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沟通对接</w:t>
            </w:r>
          </w:p>
        </w:tc>
        <w:tc>
          <w:tcPr>
            <w:tcW w:w="19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确定相关出席人员行程安排、内容及流程对接协调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物料设计及制作</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3.1</w:t>
            </w:r>
          </w:p>
        </w:tc>
        <w:tc>
          <w:tcPr>
            <w:tcW w:w="1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主视觉设计</w:t>
            </w:r>
          </w:p>
        </w:tc>
        <w:tc>
          <w:tcPr>
            <w:tcW w:w="19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2026光影文化旅游节主视觉设计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3.2</w:t>
            </w:r>
          </w:p>
        </w:tc>
        <w:tc>
          <w:tcPr>
            <w:tcW w:w="1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衍生物料设计</w:t>
            </w:r>
          </w:p>
        </w:tc>
        <w:tc>
          <w:tcPr>
            <w:tcW w:w="19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海报、展册、邀请函等相关物料设计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3.3</w:t>
            </w:r>
          </w:p>
        </w:tc>
        <w:tc>
          <w:tcPr>
            <w:tcW w:w="1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奖杯及证书设计制作</w:t>
            </w:r>
          </w:p>
        </w:tc>
        <w:tc>
          <w:tcPr>
            <w:tcW w:w="19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所有参赛参展艺术家证书，及获奖者奖杯设计与制作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3.4</w:t>
            </w:r>
          </w:p>
        </w:tc>
        <w:tc>
          <w:tcPr>
            <w:tcW w:w="1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礼品设计制作</w:t>
            </w:r>
          </w:p>
        </w:tc>
        <w:tc>
          <w:tcPr>
            <w:tcW w:w="19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包含水杯、雨伞、明信片、帆布包、衣服、3D打印小模型等各类纪念品</w:t>
            </w:r>
          </w:p>
        </w:tc>
      </w:tr>
    </w:tbl>
    <w:p>
      <w:pPr>
        <w:pStyle w:val="50"/>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方正仿宋_GBK" w:hAnsi="方正仿宋_GBK" w:eastAsia="方正仿宋_GBK" w:cs="方正仿宋_GBK"/>
          <w:b w:val="0"/>
          <w:bCs/>
          <w:sz w:val="28"/>
          <w:szCs w:val="28"/>
        </w:rPr>
      </w:pPr>
      <w:r>
        <w:rPr>
          <w:rFonts w:hint="eastAsia" w:ascii="方正仿宋_GBK" w:hAnsi="方正仿宋_GBK" w:eastAsia="方正仿宋_GBK" w:cs="方正仿宋_GBK"/>
          <w:b w:val="0"/>
          <w:bCs/>
          <w:sz w:val="28"/>
          <w:szCs w:val="28"/>
          <w:lang w:val="en-US" w:eastAsia="zh-CN"/>
        </w:rPr>
        <w:t>2026年重庆之夜·国际光影文化旅游季光影作品内容要求</w:t>
      </w:r>
    </w:p>
    <w:tbl>
      <w:tblPr>
        <w:tblStyle w:val="55"/>
        <w:tblW w:w="50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1905"/>
        <w:gridCol w:w="5809"/>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序号</w:t>
            </w:r>
          </w:p>
        </w:tc>
        <w:tc>
          <w:tcPr>
            <w:tcW w:w="963"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项目地点</w:t>
            </w:r>
          </w:p>
        </w:tc>
        <w:tc>
          <w:tcPr>
            <w:tcW w:w="2937"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邀约作品简介</w:t>
            </w:r>
          </w:p>
        </w:tc>
        <w:tc>
          <w:tcPr>
            <w:tcW w:w="898"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邀约团队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trPr>
        <w:tc>
          <w:tcPr>
            <w:tcW w:w="200"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1</w:t>
            </w:r>
          </w:p>
        </w:tc>
        <w:tc>
          <w:tcPr>
            <w:tcW w:w="96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668480" behindDoc="0" locked="0" layoutInCell="1" allowOverlap="1">
                  <wp:simplePos x="0" y="0"/>
                  <wp:positionH relativeFrom="column">
                    <wp:posOffset>2540</wp:posOffset>
                  </wp:positionH>
                  <wp:positionV relativeFrom="paragraph">
                    <wp:posOffset>-1905</wp:posOffset>
                  </wp:positionV>
                  <wp:extent cx="1398270" cy="1165225"/>
                  <wp:effectExtent l="0" t="0" r="11430" b="1587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1398270" cy="1165225"/>
                          </a:xfrm>
                          <a:prstGeom prst="rect">
                            <a:avLst/>
                          </a:prstGeom>
                          <a:noFill/>
                          <a:ln>
                            <a:noFill/>
                          </a:ln>
                        </pic:spPr>
                      </pic:pic>
                    </a:graphicData>
                  </a:graphic>
                </wp:anchor>
              </w:drawing>
            </w:r>
          </w:p>
        </w:tc>
        <w:tc>
          <w:tcPr>
            <w:tcW w:w="2937"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小小创造者</w:t>
            </w: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是一群特殊的存在，只要有新的世界需要被建造，它们便会出现。它们通过</w:t>
            </w:r>
            <w:r>
              <w:rPr>
                <w:rFonts w:hint="eastAsia" w:ascii="方正仿宋_GB2312" w:hAnsi="方正仿宋_GB2312" w:eastAsia="方正仿宋_GB2312" w:cs="方正仿宋_GB2312"/>
                <w:sz w:val="18"/>
                <w:szCs w:val="18"/>
                <w:highlight w:val="none"/>
                <w:vertAlign w:val="baseline"/>
                <w:lang w:eastAsia="zh-CN"/>
              </w:rPr>
              <w:t>由</w:t>
            </w:r>
            <w:r>
              <w:rPr>
                <w:rFonts w:hint="eastAsia" w:ascii="方正仿宋_GB2312" w:hAnsi="方正仿宋_GB2312" w:eastAsia="方正仿宋_GB2312" w:cs="方正仿宋_GB2312"/>
                <w:sz w:val="18"/>
                <w:szCs w:val="18"/>
                <w:highlight w:val="none"/>
                <w:vertAlign w:val="baseline"/>
              </w:rPr>
              <w:t>天空坠落的粒子所开启的传送之门穿越而来。无论走到哪里，它们都会为原本空无一物的空间注入生命，让“无”被塑造成“有”。当它们完成使命，便悄然离开，继续前往下一个等待被创造的地方。</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ascii="Calibri" w:hAnsi="Calibri" w:eastAsia="方正仿宋_GBK" w:cs="Times New Roman"/>
                <w:kern w:val="2"/>
                <w:sz w:val="18"/>
                <w:szCs w:val="18"/>
                <w:highlight w:val="none"/>
                <w:vertAlign w:val="baseline"/>
                <w:lang w:val="en-US" w:eastAsia="zh-CN" w:bidi="ar-SA"/>
              </w:rPr>
            </w:pPr>
            <w:r>
              <w:rPr>
                <w:rFonts w:hint="eastAsia" w:ascii="Calibri" w:hAnsi="Calibri" w:eastAsia="方正仿宋_GBK" w:cs="Times New Roman"/>
                <w:kern w:val="2"/>
                <w:sz w:val="18"/>
                <w:szCs w:val="18"/>
                <w:highlight w:val="none"/>
                <w:vertAlign w:val="baseline"/>
                <w:lang w:val="en-US" w:eastAsia="zh-CN" w:bidi="ar-SA"/>
              </w:rPr>
              <w:t>Maxin10sity</w:t>
            </w:r>
            <w:r>
              <w:rPr>
                <w:rFonts w:hint="eastAsia" w:cs="Times New Roman"/>
                <w:kern w:val="2"/>
                <w:sz w:val="18"/>
                <w:szCs w:val="18"/>
                <w:highlight w:val="none"/>
                <w:vertAlign w:val="baseline"/>
                <w:lang w:val="en-US" w:eastAsia="zh-CN" w:bidi="ar-SA"/>
              </w:rPr>
              <w:t>（匈牙利）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2</w:t>
            </w:r>
          </w:p>
        </w:tc>
        <w:tc>
          <w:tcPr>
            <w:tcW w:w="96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669504" behindDoc="0" locked="0" layoutInCell="1" allowOverlap="1">
                  <wp:simplePos x="0" y="0"/>
                  <wp:positionH relativeFrom="column">
                    <wp:posOffset>0</wp:posOffset>
                  </wp:positionH>
                  <wp:positionV relativeFrom="paragraph">
                    <wp:posOffset>-640080</wp:posOffset>
                  </wp:positionV>
                  <wp:extent cx="1402080" cy="755015"/>
                  <wp:effectExtent l="0" t="0" r="7620" b="698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1402080" cy="755015"/>
                          </a:xfrm>
                          <a:prstGeom prst="rect">
                            <a:avLst/>
                          </a:prstGeom>
                          <a:noFill/>
                          <a:ln>
                            <a:noFill/>
                          </a:ln>
                        </pic:spPr>
                      </pic:pic>
                    </a:graphicData>
                  </a:graphic>
                </wp:anchor>
              </w:drawing>
            </w:r>
          </w:p>
        </w:tc>
        <w:tc>
          <w:tcPr>
            <w:tcW w:w="2937"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sz w:val="18"/>
                <w:szCs w:val="18"/>
                <w:highlight w:val="none"/>
                <w:vertAlign w:val="baseline"/>
                <w:lang w:eastAsia="zh-CN"/>
              </w:rPr>
            </w:pPr>
            <w:r>
              <w:rPr>
                <w:rFonts w:hint="eastAsia" w:ascii="方正仿宋_GB2312" w:hAnsi="方正仿宋_GB2312" w:eastAsia="方正仿宋_GB2312" w:cs="方正仿宋_GB2312"/>
                <w:sz w:val="18"/>
                <w:szCs w:val="18"/>
                <w:highlight w:val="none"/>
                <w:vertAlign w:val="baseline"/>
              </w:rPr>
              <w:t>本作品以“可爱海底童话王国”为主题，将整座建筑化作一片会呼吸的梦幻深海。五彩珊瑚在墙面生长，水母如小灯笼般缓缓漂浮，小鱼成群穿梭，海马、章鱼与贝壳精灵轮番登场，组成一个充满童趣的水下世界。画面节奏轻快明亮，色彩柔软通透，像一本被翻开的立体童话书。孩子们可以在光影中“潜入”海底，与这些可爱的海洋伙伴互动、追逐与游戏。作品以温柔的方式讲述勇气、友谊与探索的故事，让观众在轻松愉悦的氛围中，找回对自然与想象力最纯真的向往</w:t>
            </w:r>
            <w:r>
              <w:rPr>
                <w:rFonts w:hint="eastAsia" w:ascii="方正仿宋_GB2312" w:hAnsi="方正仿宋_GB2312" w:eastAsia="方正仿宋_GB2312" w:cs="方正仿宋_GB2312"/>
                <w:sz w:val="18"/>
                <w:szCs w:val="18"/>
                <w:highlight w:val="none"/>
                <w:vertAlign w:val="baseline"/>
                <w:lang w:eastAsia="zh-CN"/>
              </w:rPr>
              <w:t>。</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AVA Animation &amp; Visual Arts（墨西哥）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3</w:t>
            </w:r>
          </w:p>
        </w:tc>
        <w:tc>
          <w:tcPr>
            <w:tcW w:w="96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670528" behindDoc="0" locked="0" layoutInCell="1" allowOverlap="1">
                  <wp:simplePos x="0" y="0"/>
                  <wp:positionH relativeFrom="column">
                    <wp:posOffset>0</wp:posOffset>
                  </wp:positionH>
                  <wp:positionV relativeFrom="paragraph">
                    <wp:posOffset>-621030</wp:posOffset>
                  </wp:positionV>
                  <wp:extent cx="1395095" cy="725805"/>
                  <wp:effectExtent l="0" t="0" r="14605" b="17145"/>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1395095" cy="725805"/>
                          </a:xfrm>
                          <a:prstGeom prst="rect">
                            <a:avLst/>
                          </a:prstGeom>
                          <a:noFill/>
                          <a:ln>
                            <a:noFill/>
                          </a:ln>
                        </pic:spPr>
                      </pic:pic>
                    </a:graphicData>
                  </a:graphic>
                </wp:anchor>
              </w:drawing>
            </w:r>
          </w:p>
        </w:tc>
        <w:tc>
          <w:tcPr>
            <w:tcW w:w="2937"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rPr>
              <w:t>作品以印尼传统儿童童话为灵感，将古老传说中的森林、海洋、神鸟与精灵搬上建筑立面。画面采用明亮而富有热带气息的色彩，伴随轻快的音乐节奏展开，一段段关于勇气、善良与成长的故事在光影中流动。主人公在奇幻世界中不断遇见困难，又在伙伴的帮助下学会分享与坚持。作品通过温柔、童趣的视觉</w:t>
            </w:r>
            <w:r>
              <w:rPr>
                <w:rFonts w:hint="eastAsia" w:ascii="方正仿宋_GB2312" w:hAnsi="方正仿宋_GB2312" w:eastAsia="方正仿宋_GB2312" w:cs="方正仿宋_GB2312"/>
                <w:sz w:val="18"/>
                <w:szCs w:val="18"/>
                <w:highlight w:val="none"/>
                <w:vertAlign w:val="baseline"/>
                <w:lang w:eastAsia="zh-CN"/>
              </w:rPr>
              <w:t>形式</w:t>
            </w:r>
            <w:r>
              <w:rPr>
                <w:rFonts w:hint="eastAsia" w:ascii="方正仿宋_GB2312" w:hAnsi="方正仿宋_GB2312" w:eastAsia="方正仿宋_GB2312" w:cs="方正仿宋_GB2312"/>
                <w:sz w:val="18"/>
                <w:szCs w:val="18"/>
                <w:highlight w:val="none"/>
                <w:vertAlign w:val="baseline"/>
              </w:rPr>
              <w:t>，让孩子</w:t>
            </w:r>
            <w:r>
              <w:rPr>
                <w:rFonts w:hint="eastAsia" w:ascii="方正仿宋_GB2312" w:hAnsi="方正仿宋_GB2312" w:eastAsia="方正仿宋_GB2312" w:cs="方正仿宋_GB2312"/>
                <w:sz w:val="18"/>
                <w:szCs w:val="18"/>
                <w:highlight w:val="none"/>
                <w:vertAlign w:val="baseline"/>
                <w:lang w:eastAsia="zh-CN"/>
              </w:rPr>
              <w:t>们在</w:t>
            </w:r>
            <w:r>
              <w:rPr>
                <w:rFonts w:hint="eastAsia" w:ascii="方正仿宋_GB2312" w:hAnsi="方正仿宋_GB2312" w:eastAsia="方正仿宋_GB2312" w:cs="方正仿宋_GB2312"/>
                <w:sz w:val="18"/>
                <w:szCs w:val="18"/>
                <w:highlight w:val="none"/>
                <w:vertAlign w:val="baseline"/>
              </w:rPr>
              <w:t>沉浸体验中感受异域文化的魅力，也在故事的起伏中理解友谊、信任与希望的意义。</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The Fox the Folks（印度尼西亚）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6" w:hRule="atLeast"/>
        </w:trPr>
        <w:tc>
          <w:tcPr>
            <w:tcW w:w="200"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4</w:t>
            </w:r>
          </w:p>
        </w:tc>
        <w:tc>
          <w:tcPr>
            <w:tcW w:w="96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eastAsiaTheme="minorEastAsia"/>
                <w:sz w:val="18"/>
                <w:szCs w:val="18"/>
                <w:highlight w:val="none"/>
                <w:vertAlign w:val="baseline"/>
                <w:lang w:eastAsia="zh-CN"/>
              </w:rPr>
            </w:pPr>
            <w:r>
              <w:rPr>
                <w:rFonts w:hint="eastAsia" w:eastAsiaTheme="minorEastAsia"/>
                <w:sz w:val="18"/>
                <w:szCs w:val="18"/>
                <w:highlight w:val="none"/>
                <w:vertAlign w:val="baseline"/>
                <w:lang w:eastAsia="zh-CN"/>
              </w:rPr>
              <w:drawing>
                <wp:anchor distT="0" distB="0" distL="114300" distR="114300" simplePos="0" relativeHeight="251671552" behindDoc="0" locked="0" layoutInCell="1" allowOverlap="1">
                  <wp:simplePos x="0" y="0"/>
                  <wp:positionH relativeFrom="column">
                    <wp:posOffset>0</wp:posOffset>
                  </wp:positionH>
                  <wp:positionV relativeFrom="paragraph">
                    <wp:posOffset>-1135380</wp:posOffset>
                  </wp:positionV>
                  <wp:extent cx="1393825" cy="1238885"/>
                  <wp:effectExtent l="0" t="0" r="15875" b="18415"/>
                  <wp:wrapTopAndBottom/>
                  <wp:docPr id="9" name="图片 9" descr="L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ED MODEL"/>
                          <pic:cNvPicPr>
                            <a:picLocks noChangeAspect="1"/>
                          </pic:cNvPicPr>
                        </pic:nvPicPr>
                        <pic:blipFill>
                          <a:blip r:embed="rId18"/>
                          <a:stretch>
                            <a:fillRect/>
                          </a:stretch>
                        </pic:blipFill>
                        <pic:spPr>
                          <a:xfrm>
                            <a:off x="0" y="0"/>
                            <a:ext cx="1393825" cy="1238885"/>
                          </a:xfrm>
                          <a:prstGeom prst="rect">
                            <a:avLst/>
                          </a:prstGeom>
                        </pic:spPr>
                      </pic:pic>
                    </a:graphicData>
                  </a:graphic>
                </wp:anchor>
              </w:drawing>
            </w:r>
          </w:p>
        </w:tc>
        <w:tc>
          <w:tcPr>
            <w:tcW w:w="2937"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rPr>
              <w:t>作品以黑白线条构建纯粹的抽象空间，将数学逻辑转化为可感知的视觉秩序。直线、曲线、网格与旋转在画面中不断推演，形成类似公式演算般的节奏变化。线条的生长、叠加与断裂，既遵循精密的比例关系，又在微小偏移中释放不确定性。作品试图以最克制的色彩与最理性的结构，探讨“规律”与“偏差”之间的张力，让观众在冷静的数学美感中，感受到秩序背后潜藏的情绪脉动与能量流动。</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Restungsschmie.de（德国）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5</w:t>
            </w:r>
          </w:p>
        </w:tc>
        <w:tc>
          <w:tcPr>
            <w:tcW w:w="96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672576" behindDoc="0" locked="0" layoutInCell="1" allowOverlap="1">
                  <wp:simplePos x="0" y="0"/>
                  <wp:positionH relativeFrom="column">
                    <wp:posOffset>0</wp:posOffset>
                  </wp:positionH>
                  <wp:positionV relativeFrom="paragraph">
                    <wp:posOffset>-678180</wp:posOffset>
                  </wp:positionV>
                  <wp:extent cx="1330960" cy="789940"/>
                  <wp:effectExtent l="0" t="0" r="2540" b="10160"/>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tretch>
                            <a:fillRect/>
                          </a:stretch>
                        </pic:blipFill>
                        <pic:spPr>
                          <a:xfrm>
                            <a:off x="0" y="0"/>
                            <a:ext cx="1330960" cy="789940"/>
                          </a:xfrm>
                          <a:prstGeom prst="rect">
                            <a:avLst/>
                          </a:prstGeom>
                          <a:noFill/>
                          <a:ln>
                            <a:noFill/>
                          </a:ln>
                        </pic:spPr>
                      </pic:pic>
                    </a:graphicData>
                  </a:graphic>
                </wp:anchor>
              </w:drawing>
            </w:r>
          </w:p>
        </w:tc>
        <w:tc>
          <w:tcPr>
            <w:tcW w:w="2937"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rPr>
              <w:t>《Aeon》唤起塑造史前世界的原初能量，那是地球仍处于持续变化中</w:t>
            </w: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生命以最本能形态诞生的时代。作品并非再现具体的远古景象，而是指向深藏于地球最深层的古老节律</w:t>
            </w: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曾推动早期生命扩展与原初景观繁盛的能量脉动。它在混沌与秩序之间游走，揭示万物由物成生的本能驱动力，展现生长、演化与消亡本为同一循环。通过抽象而有机的视觉语言，Aeon 让人重新连接地球的深层记忆，将起源视为持续生成的状态，而非遥远的过去。</w:t>
            </w:r>
          </w:p>
        </w:tc>
        <w:tc>
          <w:tcPr>
            <w:tcW w:w="898"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VPM（西班牙）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sz w:val="18"/>
                <w:szCs w:val="18"/>
                <w:highlight w:val="none"/>
                <w:vertAlign w:val="baseline"/>
                <w:lang w:val="en-US" w:eastAsia="zh-CN"/>
              </w:rPr>
              <w:t>6</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highlight w:val="none"/>
              </w:rPr>
              <w:drawing>
                <wp:anchor distT="0" distB="0" distL="114300" distR="114300" simplePos="0" relativeHeight="251673600" behindDoc="0" locked="0" layoutInCell="1" allowOverlap="1">
                  <wp:simplePos x="0" y="0"/>
                  <wp:positionH relativeFrom="column">
                    <wp:posOffset>0</wp:posOffset>
                  </wp:positionH>
                  <wp:positionV relativeFrom="paragraph">
                    <wp:posOffset>-544830</wp:posOffset>
                  </wp:positionV>
                  <wp:extent cx="1337310" cy="648335"/>
                  <wp:effectExtent l="0" t="0" r="15240" b="18415"/>
                  <wp:wrapTopAndBottom/>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0"/>
                          <a:stretch>
                            <a:fillRect/>
                          </a:stretch>
                        </pic:blipFill>
                        <pic:spPr>
                          <a:xfrm>
                            <a:off x="0" y="0"/>
                            <a:ext cx="1337310" cy="64833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sz w:val="18"/>
                <w:szCs w:val="18"/>
                <w:highlight w:val="none"/>
                <w:vertAlign w:val="baseline"/>
                <w:lang w:val="en-US" w:eastAsia="zh-CN"/>
              </w:rPr>
            </w:pPr>
            <w:r>
              <w:rPr>
                <w:rFonts w:hint="eastAsia" w:ascii="方正仿宋_GB2312" w:hAnsi="方正仿宋_GB2312" w:eastAsia="方正仿宋_GB2312" w:cs="方正仿宋_GB2312"/>
                <w:sz w:val="18"/>
                <w:szCs w:val="18"/>
                <w:highlight w:val="none"/>
                <w:vertAlign w:val="baseline"/>
              </w:rPr>
              <w:t>本作源于“现实隧道”理论，探讨个体如何在潜意识滤镜中感知世界。装置以45组可编程LED光条与同步环绕声构建地下光影结构，让声音与光在空间中流动共振。作品诞生于一处被唤醒的废弃地下空间，将被遗忘的城市结构转化为沉浸式感知现场，引导观众进入一段关于意识、感官与现实的内在旅程</w:t>
            </w:r>
            <w:r>
              <w:rPr>
                <w:rFonts w:hint="eastAsia" w:ascii="方正仿宋_GB2312" w:hAnsi="方正仿宋_GB2312" w:eastAsia="方正仿宋_GB2312" w:cs="方正仿宋_GB2312"/>
                <w:sz w:val="18"/>
                <w:szCs w:val="18"/>
                <w:highlight w:val="none"/>
                <w:vertAlign w:val="baseline"/>
                <w:lang w:eastAsia="zh-CN"/>
              </w:rPr>
              <w:t>。</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Formate（俄罗斯）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sz w:val="18"/>
                <w:szCs w:val="18"/>
                <w:highlight w:val="none"/>
                <w:vertAlign w:val="baseline"/>
                <w:lang w:val="en-US" w:eastAsia="zh-CN"/>
              </w:rPr>
              <w:t>7</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674624" behindDoc="0" locked="0" layoutInCell="1" allowOverlap="1">
                  <wp:simplePos x="0" y="0"/>
                  <wp:positionH relativeFrom="column">
                    <wp:posOffset>0</wp:posOffset>
                  </wp:positionH>
                  <wp:positionV relativeFrom="paragraph">
                    <wp:posOffset>-1059180</wp:posOffset>
                  </wp:positionV>
                  <wp:extent cx="1398270" cy="1165225"/>
                  <wp:effectExtent l="0" t="0" r="11430" b="1587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1398270" cy="116522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《几木园》MAPPING 作品设置在重庆儿童公园一隅的一座小巧建筑之上，以色彩与光影为画笔，将整面立面化作一部流动的“艺术发展史”。画面从最初的原始涂鸦、图腾符号出发，延展至古典绘画的结构秩序，再到现代主义的解构与重组，最终迈向数字时代的像素、代码与虚拟影像。不同历史阶段的艺术风格在建筑表面不断交替、叠加、演化，像时间被折叠进空间。作品以轻快、通透的方式，将人类艺术千年的探索浓缩为一场适合孩子与家庭共同观看的光影旅程，让艺术史变得可感、可亲，也充满想象力。</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林岭楠（中国）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8</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675648" behindDoc="0" locked="0" layoutInCell="1" allowOverlap="1">
                  <wp:simplePos x="0" y="0"/>
                  <wp:positionH relativeFrom="column">
                    <wp:posOffset>0</wp:posOffset>
                  </wp:positionH>
                  <wp:positionV relativeFrom="paragraph">
                    <wp:posOffset>-640080</wp:posOffset>
                  </wp:positionV>
                  <wp:extent cx="1402080" cy="755015"/>
                  <wp:effectExtent l="0" t="0" r="7620" b="6985"/>
                  <wp:wrapTopAndBottom/>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6"/>
                          <a:stretch>
                            <a:fillRect/>
                          </a:stretch>
                        </pic:blipFill>
                        <pic:spPr>
                          <a:xfrm>
                            <a:off x="0" y="0"/>
                            <a:ext cx="1402080" cy="75501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锦上万象》以中国传统丝绸纹样为灵感，比如来自蜀锦、宋锦、侗族织锦等，将千年织造的纹理、色彩与寓意，用MAPPING的方式重新点亮。作品在重庆儿童公园的小小建筑上展开，如同一幅会呼吸的织锦从墙面慢慢铺开。华丽的团花、云纹、瑞兽、羽饰在光影中层层展开，让每个观众看到传统的浪漫，也重新遇见东方纹样的深邃与温柔。它是一块流动的“锦”，把万象之美织进夜色里。</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何嘉铭（中国）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9</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676672" behindDoc="0" locked="0" layoutInCell="1" allowOverlap="1">
                  <wp:simplePos x="0" y="0"/>
                  <wp:positionH relativeFrom="column">
                    <wp:posOffset>0</wp:posOffset>
                  </wp:positionH>
                  <wp:positionV relativeFrom="paragraph">
                    <wp:posOffset>-621030</wp:posOffset>
                  </wp:positionV>
                  <wp:extent cx="1395095" cy="725805"/>
                  <wp:effectExtent l="0" t="0" r="14605" b="17145"/>
                  <wp:wrapTopAndBottom/>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1395095" cy="72580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滴滴答答》是一首为重庆儿童公园写的色彩序曲，把城市的节奏、儿童的想象力与时间的流动组合成一座会发光的“玩具装置”。作品以积木般的造型、跳动的色块与彩虹能量线条构成童趣世界，每一段节奏都像孩子敲出的滴答声，简单、纯粹又充满生命力。我们希望让来到公园的孩子们像进入一座巨大的梦中工厂，在光影里探索、奔跑、好奇；也让大人们重新想起，被时间遗忘的那一点点“滴滴答答”的童心。</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何琳（中国）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10</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eastAsiaTheme="minorEastAsia"/>
                <w:sz w:val="18"/>
                <w:szCs w:val="18"/>
                <w:highlight w:val="none"/>
                <w:vertAlign w:val="baseline"/>
                <w:lang w:eastAsia="zh-CN"/>
              </w:rPr>
              <w:drawing>
                <wp:anchor distT="0" distB="0" distL="114300" distR="114300" simplePos="0" relativeHeight="251677696" behindDoc="0" locked="0" layoutInCell="1" allowOverlap="1">
                  <wp:simplePos x="0" y="0"/>
                  <wp:positionH relativeFrom="column">
                    <wp:posOffset>0</wp:posOffset>
                  </wp:positionH>
                  <wp:positionV relativeFrom="paragraph">
                    <wp:posOffset>-1135380</wp:posOffset>
                  </wp:positionV>
                  <wp:extent cx="1393825" cy="1238885"/>
                  <wp:effectExtent l="0" t="0" r="15875" b="18415"/>
                  <wp:wrapTopAndBottom/>
                  <wp:docPr id="15" name="图片 15" descr="L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ED MODEL"/>
                          <pic:cNvPicPr>
                            <a:picLocks noChangeAspect="1"/>
                          </pic:cNvPicPr>
                        </pic:nvPicPr>
                        <pic:blipFill>
                          <a:blip r:embed="rId18"/>
                          <a:stretch>
                            <a:fillRect/>
                          </a:stretch>
                        </pic:blipFill>
                        <pic:spPr>
                          <a:xfrm>
                            <a:off x="0" y="0"/>
                            <a:ext cx="1393825" cy="1238885"/>
                          </a:xfrm>
                          <a:prstGeom prst="rect">
                            <a:avLst/>
                          </a:prstGeom>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这部作品以重庆独特的山地肌理与江水气象为灵感，以蒸汽朋克的工业质感重新解读城市的能量与脉动。作品将火锅、脸谱、雾气、钢铁、机械、山城坡道等在地元素融入一条狂野的视觉旅程，让传统山水意象在高压蒸汽与机械动力中焕发新生命。整体风格受到《疯狂的麦克斯》启发，带有末世张力与粗粝美学，却依然保留重庆山水的磅礴与灵魂。它既是对山城现实的再造，也是对未来山水的一次想象。</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朱俊杰（中国）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11</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666432" behindDoc="1" locked="0" layoutInCell="1" allowOverlap="1">
                  <wp:simplePos x="0" y="0"/>
                  <wp:positionH relativeFrom="column">
                    <wp:posOffset>-32385</wp:posOffset>
                  </wp:positionH>
                  <wp:positionV relativeFrom="paragraph">
                    <wp:posOffset>342900</wp:posOffset>
                  </wp:positionV>
                  <wp:extent cx="1437640" cy="853440"/>
                  <wp:effectExtent l="0" t="0" r="10160" b="3810"/>
                  <wp:wrapTight wrapText="bothSides">
                    <wp:wrapPolygon>
                      <wp:start x="0" y="0"/>
                      <wp:lineTo x="0" y="21214"/>
                      <wp:lineTo x="21180" y="21214"/>
                      <wp:lineTo x="21180" y="0"/>
                      <wp:lineTo x="0" y="0"/>
                    </wp:wrapPolygon>
                  </wp:wrapTight>
                  <wp:docPr id="11" name="图片 11" descr="0e4a8652567feae527dc027797c3b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e4a8652567feae527dc027797c3b847"/>
                          <pic:cNvPicPr>
                            <a:picLocks noChangeAspect="1"/>
                          </pic:cNvPicPr>
                        </pic:nvPicPr>
                        <pic:blipFill>
                          <a:blip r:embed="rId21"/>
                          <a:stretch>
                            <a:fillRect/>
                          </a:stretch>
                        </pic:blipFill>
                        <pic:spPr>
                          <a:xfrm>
                            <a:off x="0" y="0"/>
                            <a:ext cx="1437640" cy="853440"/>
                          </a:xfrm>
                          <a:prstGeom prst="rect">
                            <a:avLst/>
                          </a:prstGeom>
                        </pic:spPr>
                      </pic:pic>
                    </a:graphicData>
                  </a:graphic>
                </wp:anchor>
              </w:drawing>
            </w:r>
            <w:r>
              <w:rPr>
                <w:rFonts w:hint="eastAsia"/>
                <w:sz w:val="18"/>
                <w:szCs w:val="18"/>
                <w:highlight w:val="none"/>
                <w:vertAlign w:val="baseline"/>
                <w:lang w:val="en-US" w:eastAsia="zh-CN"/>
              </w:rPr>
              <w:t>室外纱幕</w:t>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来到世界的第一年》以孩子的视角展开叙事。孩子眼中的世界没有边界，他们相信风会歌唱、光能呼吸、树木会低语，连尘埃也闪烁着生命的光。作品试图还原这种最纯粹的感知状态，用柔和的色彩与流动的节奏去描绘自然的脉动与生命的节律。光与影在画面中不断交织、呼吸、伸展，如同心跳的频率，带领观者进入一个既真实又梦幻的时空。每一束光都像是一种情感的触须，轻轻连接起观者与世界的温度。我们希望观众在这段光影旅程中，能暂时放下成人世界的理性，重新感受那份久违的惊奇与温柔，找回与自然、与生命、与爱之间最原初的共鸣。</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王奋（中国）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12</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678720" behindDoc="0" locked="0" layoutInCell="1" allowOverlap="1">
                  <wp:simplePos x="0" y="0"/>
                  <wp:positionH relativeFrom="column">
                    <wp:posOffset>0</wp:posOffset>
                  </wp:positionH>
                  <wp:positionV relativeFrom="paragraph">
                    <wp:posOffset>-678180</wp:posOffset>
                  </wp:positionV>
                  <wp:extent cx="1327785" cy="781685"/>
                  <wp:effectExtent l="0" t="0" r="5715" b="18415"/>
                  <wp:wrapTopAndBottom/>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2"/>
                          <a:stretch>
                            <a:fillRect/>
                          </a:stretch>
                        </pic:blipFill>
                        <pic:spPr>
                          <a:xfrm>
                            <a:off x="0" y="0"/>
                            <a:ext cx="1327785" cy="78168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这部作品通过多个富有层次的段落，带领观众跟随飞船前往外星球，探索一个全新的异世界文明。故事从飞船的降落开始，逐渐引导观众进入这个充满奇幻色彩的外星环境，见证了异世界的生命与文明从诞生到进化的过程。每一段动画都通过精致的设计，展现了这个文明在时间与空间中不断变化与发展的脆弱与坚韧。从海洋中的奇异生物，到冰封的严冬，再到暴风雨的肆虐，生命在困境中顽强演化。随着文明达到顶峰，生命形式逐渐蜕变，最终回归到飞船的起点，象征着一个文明的轮回。</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作品的设计理念围绕“探索与启发”展开，通过细腻的视觉表现与动感的粒子、光影效果，带领观众感知并思考外星文明的无常与美丽。通过对这个异世界文明的了解，触发了对生命、进化和存在的深刻思考，观众不禁反思人类文明与自然的关系。最终，所有的探索归于平静，飞船再次升空，留给观众的是对未知世界的敬畏与对生命短暂瞬间的珍惜。</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龙冠峰（中国）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13</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665408" behindDoc="0" locked="0" layoutInCell="1" allowOverlap="1">
                  <wp:simplePos x="0" y="0"/>
                  <wp:positionH relativeFrom="column">
                    <wp:posOffset>-32385</wp:posOffset>
                  </wp:positionH>
                  <wp:positionV relativeFrom="paragraph">
                    <wp:posOffset>279400</wp:posOffset>
                  </wp:positionV>
                  <wp:extent cx="1436370" cy="777875"/>
                  <wp:effectExtent l="0" t="0" r="11430" b="3175"/>
                  <wp:wrapTopAndBottom/>
                  <wp:docPr id="16" name="图片 16" descr="da9864dcb80f6eec50e5f8f3d8139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a9864dcb80f6eec50e5f8f3d81391f3"/>
                          <pic:cNvPicPr>
                            <a:picLocks noChangeAspect="1"/>
                          </pic:cNvPicPr>
                        </pic:nvPicPr>
                        <pic:blipFill>
                          <a:blip r:embed="rId23"/>
                          <a:stretch>
                            <a:fillRect/>
                          </a:stretch>
                        </pic:blipFill>
                        <pic:spPr>
                          <a:xfrm>
                            <a:off x="0" y="0"/>
                            <a:ext cx="1436370" cy="777875"/>
                          </a:xfrm>
                          <a:prstGeom prst="rect">
                            <a:avLst/>
                          </a:prstGeom>
                        </pic:spPr>
                      </pic:pic>
                    </a:graphicData>
                  </a:graphic>
                </wp:anchor>
              </w:drawing>
            </w:r>
            <w:r>
              <w:rPr>
                <w:rFonts w:hint="eastAsia"/>
                <w:sz w:val="18"/>
                <w:szCs w:val="18"/>
                <w:highlight w:val="none"/>
                <w:vertAlign w:val="baseline"/>
                <w:lang w:val="en-US" w:eastAsia="zh-CN"/>
              </w:rPr>
              <w:t>室内纱幕</w:t>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本次作品以纱幕为主要载体，画面语言极简克制，强调线条、光影与节奏的纯粹关系，呈现出具有现代感的视觉气质。影像不再承担叙事功能，而是作为一种“呼吸中的空间”，与舞蹈演员的即兴身体动作形成实时对话。舞者的每一次伸展、回旋与停顿，都会被纱幕上的光影放大、回应与延展，仿佛生命在虚实之间彼此牵引。作品试图从最本质的层面出发，探讨生命的流动、感知与存在状态，让观众在极简与留白中，重新感受身体、时间与生命本身的微妙关联。</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周强（中国）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14</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sz w:val="18"/>
                <w:szCs w:val="18"/>
                <w:highlight w:val="none"/>
                <w:vertAlign w:val="baseline"/>
                <w:lang w:val="en-US" w:eastAsia="zh-CN"/>
              </w:rPr>
            </w:pPr>
            <w:r>
              <w:rPr>
                <w:highlight w:val="none"/>
              </w:rPr>
              <w:drawing>
                <wp:anchor distT="0" distB="0" distL="114300" distR="114300" simplePos="0" relativeHeight="251679744" behindDoc="0" locked="0" layoutInCell="1" allowOverlap="1">
                  <wp:simplePos x="0" y="0"/>
                  <wp:positionH relativeFrom="column">
                    <wp:posOffset>-60960</wp:posOffset>
                  </wp:positionH>
                  <wp:positionV relativeFrom="paragraph">
                    <wp:posOffset>652145</wp:posOffset>
                  </wp:positionV>
                  <wp:extent cx="1335405" cy="710565"/>
                  <wp:effectExtent l="0" t="0" r="17145" b="13335"/>
                  <wp:wrapTopAndBottom/>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4"/>
                          <a:stretch>
                            <a:fillRect/>
                          </a:stretch>
                        </pic:blipFill>
                        <pic:spPr>
                          <a:xfrm>
                            <a:off x="0" y="0"/>
                            <a:ext cx="1335405" cy="71056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在数据洪流与信息共振的时代，我们所处的现实早已不止于物理世界，而是一个由信号、光线、算法交织而成的全息维度。X讯号是一组基于LED影像装置的视觉实验，它并非简单的光影投射，而是一种数字秩序与混沌意识之间的对话。</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几何结构在信号流动中构建与瓦解，空间在光的折叠中不断重塑，如同信息社会的脉搏，以碎片化的节奏运行，却始终指向某种隐形的秩序。X既是未知，也是变量，是坐标轴上的不确定点，象征着科技、智能、现实与虚拟交汇的临界状态。</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这里的光不是被动的，而是主动生长的：它在数据的驱动下生成，不断演算、变化，如同意识流动，映射着数字时代的存在方式。每个瞬间都是独立的，一个信号的跃动便足以改变全局。X讯号是超越视觉表象的实验，它质问着未来的信息矩阵：当所有信号彼此连接，我们是否仍能看见真正的自己？</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王奋（中国）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15</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667456" behindDoc="1" locked="0" layoutInCell="1" allowOverlap="1">
                  <wp:simplePos x="0" y="0"/>
                  <wp:positionH relativeFrom="column">
                    <wp:posOffset>-32385</wp:posOffset>
                  </wp:positionH>
                  <wp:positionV relativeFrom="paragraph">
                    <wp:posOffset>326390</wp:posOffset>
                  </wp:positionV>
                  <wp:extent cx="1437640" cy="853440"/>
                  <wp:effectExtent l="0" t="0" r="10160" b="3810"/>
                  <wp:wrapTight wrapText="bothSides">
                    <wp:wrapPolygon>
                      <wp:start x="0" y="0"/>
                      <wp:lineTo x="0" y="21214"/>
                      <wp:lineTo x="21180" y="21214"/>
                      <wp:lineTo x="21180" y="0"/>
                      <wp:lineTo x="0" y="0"/>
                    </wp:wrapPolygon>
                  </wp:wrapTight>
                  <wp:docPr id="20" name="图片 20" descr="0e4a8652567feae527dc027797c3b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e4a8652567feae527dc027797c3b847"/>
                          <pic:cNvPicPr>
                            <a:picLocks noChangeAspect="1"/>
                          </pic:cNvPicPr>
                        </pic:nvPicPr>
                        <pic:blipFill>
                          <a:blip r:embed="rId21"/>
                          <a:stretch>
                            <a:fillRect/>
                          </a:stretch>
                        </pic:blipFill>
                        <pic:spPr>
                          <a:xfrm>
                            <a:off x="0" y="0"/>
                            <a:ext cx="1437640" cy="853440"/>
                          </a:xfrm>
                          <a:prstGeom prst="rect">
                            <a:avLst/>
                          </a:prstGeom>
                        </pic:spPr>
                      </pic:pic>
                    </a:graphicData>
                  </a:graphic>
                </wp:anchor>
              </w:drawing>
            </w:r>
            <w:r>
              <w:rPr>
                <w:rFonts w:hint="eastAsia"/>
                <w:sz w:val="18"/>
                <w:szCs w:val="18"/>
                <w:highlight w:val="none"/>
                <w:vertAlign w:val="baseline"/>
                <w:lang w:val="en-US" w:eastAsia="zh-CN"/>
              </w:rPr>
              <w:t>室外纱幕</w:t>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作品《涟漪》构建了一个“万物皆有回响”的隐喻世界。这里的世界并非沉默的背景，而是拥有集体记忆与情感的庞大生命体，是与人类意识平行交织的另一重存在。人类与之，是持续地观察与被观察。这个世界从不被动承受，它以深不可测的智慧与耐心，对人类的一举一动做出精微的回应：每一次季候变迁、每一场生态波动，都是它无声而有力的语言。</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由此，我们试图探讨一个根源性问题，并给出我们的理解：世间没有绝对的静止，只有未被察觉的回响。从城市天际线的攀升到自然风浪的翻涌，从生命个体的悸动到文明节律的流转……波动，是万物共通的语言。这无形的纽带最终揭示：人与世界，观察者与被观察者，本就是同一张波动网络中相互映照、共同创造的共生体。</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渲艺山河（中国）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16</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heme="minorHAnsi" w:hAnsiTheme="minorHAnsi" w:eastAsiaTheme="minorEastAsia" w:cstheme="minorBidi"/>
                <w:kern w:val="2"/>
                <w:sz w:val="18"/>
                <w:szCs w:val="18"/>
                <w:vertAlign w:val="baseline"/>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680768" behindDoc="0" locked="0" layoutInCell="1" allowOverlap="1">
                  <wp:simplePos x="0" y="0"/>
                  <wp:positionH relativeFrom="column">
                    <wp:posOffset>-35560</wp:posOffset>
                  </wp:positionH>
                  <wp:positionV relativeFrom="paragraph">
                    <wp:posOffset>193040</wp:posOffset>
                  </wp:positionV>
                  <wp:extent cx="1346200" cy="1513205"/>
                  <wp:effectExtent l="0" t="0" r="6350" b="10795"/>
                  <wp:wrapTopAndBottom/>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25"/>
                          <a:stretch>
                            <a:fillRect/>
                          </a:stretch>
                        </pic:blipFill>
                        <pic:spPr>
                          <a:xfrm>
                            <a:off x="0" y="0"/>
                            <a:ext cx="1346200" cy="1513205"/>
                          </a:xfrm>
                          <a:prstGeom prst="rect">
                            <a:avLst/>
                          </a:prstGeom>
                          <a:noFill/>
                          <a:ln w="9525">
                            <a:noFill/>
                          </a:ln>
                        </pic:spPr>
                      </pic:pic>
                    </a:graphicData>
                  </a:graphic>
                </wp:anchor>
              </w:drawing>
            </w:r>
            <w:r>
              <w:rPr>
                <w:rFonts w:hint="eastAsia"/>
                <w:sz w:val="18"/>
                <w:szCs w:val="18"/>
                <w:vertAlign w:val="baseline"/>
                <w:lang w:val="en-US" w:eastAsia="zh-CN"/>
              </w:rPr>
              <w:t>圆馆交互</w:t>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摄像头体感交互程序*5</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本项目由五个独立的房间构成，每个房间均呈现一个独具个性的人物造型，并搭载一套完整的可交互系统。</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五个房间，五位角色，五段截然不同的沉浸式旅程，共同构建了一个多元化的叙事体验空间。</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sz w:val="18"/>
                <w:szCs w:val="18"/>
                <w:vertAlign w:val="baseline"/>
                <w:lang w:val="en-US" w:eastAsia="zh-CN"/>
              </w:rPr>
              <w:t>裴峰（叶师父）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17</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sz w:val="18"/>
                <w:szCs w:val="18"/>
                <w:vertAlign w:val="baseline"/>
                <w:lang w:val="en-US" w:eastAsia="zh-CN"/>
              </w:rPr>
            </w:pPr>
            <w:r>
              <w:rPr>
                <w:rFonts w:ascii="宋体" w:hAnsi="宋体" w:eastAsia="宋体" w:cs="宋体"/>
                <w:kern w:val="0"/>
                <w:sz w:val="24"/>
                <w:szCs w:val="24"/>
                <w:lang w:val="en-US" w:eastAsia="zh-CN" w:bidi="ar"/>
              </w:rPr>
              <w:drawing>
                <wp:anchor distT="0" distB="0" distL="114300" distR="114300" simplePos="0" relativeHeight="251681792" behindDoc="0" locked="0" layoutInCell="1" allowOverlap="1">
                  <wp:simplePos x="0" y="0"/>
                  <wp:positionH relativeFrom="column">
                    <wp:posOffset>-17780</wp:posOffset>
                  </wp:positionH>
                  <wp:positionV relativeFrom="paragraph">
                    <wp:posOffset>160655</wp:posOffset>
                  </wp:positionV>
                  <wp:extent cx="1334770" cy="751205"/>
                  <wp:effectExtent l="0" t="0" r="17780" b="10795"/>
                  <wp:wrapTopAndBottom/>
                  <wp:docPr id="2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6"/>
                          <pic:cNvPicPr>
                            <a:picLocks noChangeAspect="1"/>
                          </pic:cNvPicPr>
                        </pic:nvPicPr>
                        <pic:blipFill>
                          <a:blip r:embed="rId26"/>
                          <a:stretch>
                            <a:fillRect/>
                          </a:stretch>
                        </pic:blipFill>
                        <pic:spPr>
                          <a:xfrm>
                            <a:off x="0" y="0"/>
                            <a:ext cx="1334770" cy="751205"/>
                          </a:xfrm>
                          <a:prstGeom prst="rect">
                            <a:avLst/>
                          </a:prstGeom>
                          <a:noFill/>
                          <a:ln w="9525">
                            <a:noFill/>
                          </a:ln>
                        </pic:spPr>
                      </pic:pic>
                    </a:graphicData>
                  </a:graphic>
                </wp:anchor>
              </w:drawing>
            </w:r>
            <w:r>
              <w:rPr>
                <w:rFonts w:hint="eastAsia"/>
                <w:sz w:val="18"/>
                <w:szCs w:val="18"/>
                <w:vertAlign w:val="baseline"/>
                <w:lang w:val="en-US" w:eastAsia="zh-CN"/>
              </w:rPr>
              <w:t>圆馆影像装置</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pPr>
          </w:p>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heme="minorHAnsi" w:hAnsiTheme="minorHAnsi" w:eastAsiaTheme="minorEastAsia" w:cstheme="minorBidi"/>
                <w:kern w:val="2"/>
                <w:sz w:val="18"/>
                <w:szCs w:val="18"/>
                <w:vertAlign w:val="baseline"/>
                <w:lang w:val="en-US" w:eastAsia="zh-CN" w:bidi="ar-SA"/>
              </w:rPr>
            </w:pP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《旷野之息》思辨设计影像装置，探讨了在算力成为稀缺资源的未来中，人类与数字生命之间的脆弱关系。</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sz w:val="18"/>
                <w:szCs w:val="18"/>
                <w:vertAlign w:val="baseline"/>
                <w:lang w:val="en-US" w:eastAsia="zh-CN"/>
              </w:rPr>
              <w:t>黄炜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18</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eastAsiaTheme="minorEastAsia"/>
                <w:sz w:val="18"/>
                <w:szCs w:val="18"/>
                <w:vertAlign w:val="baseline"/>
                <w:lang w:eastAsia="zh-CN"/>
              </w:rPr>
              <w:drawing>
                <wp:anchor distT="0" distB="0" distL="114300" distR="114300" simplePos="0" relativeHeight="251682816" behindDoc="0" locked="0" layoutInCell="1" allowOverlap="1">
                  <wp:simplePos x="0" y="0"/>
                  <wp:positionH relativeFrom="column">
                    <wp:posOffset>0</wp:posOffset>
                  </wp:positionH>
                  <wp:positionV relativeFrom="paragraph">
                    <wp:posOffset>-1135380</wp:posOffset>
                  </wp:positionV>
                  <wp:extent cx="1393825" cy="1238885"/>
                  <wp:effectExtent l="0" t="0" r="15875" b="18415"/>
                  <wp:wrapTopAndBottom/>
                  <wp:docPr id="23" name="图片 23" descr="L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LED MODEL"/>
                          <pic:cNvPicPr>
                            <a:picLocks noChangeAspect="1"/>
                          </pic:cNvPicPr>
                        </pic:nvPicPr>
                        <pic:blipFill>
                          <a:blip r:embed="rId18"/>
                          <a:stretch>
                            <a:fillRect/>
                          </a:stretch>
                        </pic:blipFill>
                        <pic:spPr>
                          <a:xfrm>
                            <a:off x="0" y="0"/>
                            <a:ext cx="1393825" cy="1238885"/>
                          </a:xfrm>
                          <a:prstGeom prst="rect">
                            <a:avLst/>
                          </a:prstGeom>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核心概念： 剥离色彩，以极简的黑白几何图形，展现纯粹的数字节奏与建筑韵律。</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视觉描述： 作品仅使用黑、白、灰三种色调。基础几何图形（方块、线条、圆点）如同跳动的音符，跟随音乐的节拍进行精准而富有张力的位移、缩放、闪烁与重复。强烈的对比度创造出清晰的视觉焦点与深邃的空间层次。图形运动轨迹干净利落，形成一种类似机械精密舞步或数据可视化的冷静美感，在秩序中迸发出内在的活力。</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李洲洲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19</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vertAlign w:val="baseline"/>
                <w:lang w:val="en-US" w:eastAsia="zh-CN" w:bidi="ar-SA"/>
              </w:rPr>
            </w:pPr>
            <w:r>
              <w:rPr>
                <w:sz w:val="18"/>
                <w:szCs w:val="18"/>
              </w:rPr>
              <w:drawing>
                <wp:anchor distT="0" distB="0" distL="114300" distR="114300" simplePos="0" relativeHeight="251683840" behindDoc="0" locked="0" layoutInCell="1" allowOverlap="1">
                  <wp:simplePos x="0" y="0"/>
                  <wp:positionH relativeFrom="column">
                    <wp:posOffset>0</wp:posOffset>
                  </wp:positionH>
                  <wp:positionV relativeFrom="paragraph">
                    <wp:posOffset>-621030</wp:posOffset>
                  </wp:positionV>
                  <wp:extent cx="1395095" cy="725805"/>
                  <wp:effectExtent l="0" t="0" r="14605" b="17145"/>
                  <wp:wrapTopAndBottom/>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7"/>
                          <a:stretch>
                            <a:fillRect/>
                          </a:stretch>
                        </pic:blipFill>
                        <pic:spPr>
                          <a:xfrm>
                            <a:off x="0" y="0"/>
                            <a:ext cx="1395095" cy="72580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核心概念： 将儿童公园的门头字母转化为抽象线条流动的载体。</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视觉描述： 作品以公园色彩明快的门头字母为画布，冷色调的抽象线条如光之溪流，从字母边缘生长、缠绕、流淌。线条的运动充满童真般的随机与灵动，时而汇聚成闪烁的星点，时而如柔滑的丝带滑过字母表面。坚硬的字母结构因内部流动的能量而被“软化”，产生一种理性结构与感性流动共舞的奇妙视觉。</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周杨小晓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20</w:t>
            </w:r>
          </w:p>
        </w:tc>
        <w:tc>
          <w:tcPr>
            <w:tcW w:w="963"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pPr>
            <w:r>
              <w:rPr>
                <w:rFonts w:ascii="宋体" w:hAnsi="宋体" w:eastAsia="宋体" w:cs="宋体"/>
                <w:kern w:val="0"/>
                <w:sz w:val="24"/>
                <w:szCs w:val="24"/>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-887730</wp:posOffset>
                  </wp:positionV>
                  <wp:extent cx="1333500" cy="999490"/>
                  <wp:effectExtent l="0" t="0" r="0" b="10160"/>
                  <wp:wrapTopAndBottom/>
                  <wp:docPr id="2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IMG_256"/>
                          <pic:cNvPicPr>
                            <a:picLocks noChangeAspect="1"/>
                          </pic:cNvPicPr>
                        </pic:nvPicPr>
                        <pic:blipFill>
                          <a:blip r:embed="rId27"/>
                          <a:stretch>
                            <a:fillRect/>
                          </a:stretch>
                        </pic:blipFill>
                        <pic:spPr>
                          <a:xfrm>
                            <a:off x="0" y="0"/>
                            <a:ext cx="1333500" cy="999490"/>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lang w:val="en-US" w:eastAsia="zh-CN" w:bidi="ar-SA"/>
              </w:rPr>
            </w:pP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核心概念： 用数万颗动态彩色波点，模拟一场无限绽放的数码繁花盛宴。</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视觉描述： 作品脱离具体形态，以高饱和度的鲜艳波点作为基本像素。无数波点以呼吸般的节奏不断聚合、扩散、旋转，时而形成巨大的花朵轮廓瞬间怒放，时而分解为绚烂的星云漩涡。色彩在红、紫、蓝、粉之间梦幻渐变，波点间重叠、透叠产生的视觉混合，让整体画面充满旺盛的生命力与欢乐的庆典感。</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体验联想： 如同坠入一个万花筒般的童话梦境，或目睹一场由纯粹色彩与节奏构成的、永不停歇的春日花园狂欢。</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丁为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21</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685888" behindDoc="0" locked="0" layoutInCell="1" allowOverlap="1">
                  <wp:simplePos x="0" y="0"/>
                  <wp:positionH relativeFrom="column">
                    <wp:posOffset>0</wp:posOffset>
                  </wp:positionH>
                  <wp:positionV relativeFrom="paragraph">
                    <wp:posOffset>-1059180</wp:posOffset>
                  </wp:positionV>
                  <wp:extent cx="1398270" cy="1165225"/>
                  <wp:effectExtent l="0" t="0" r="11430" b="1587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1398270" cy="116522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《几木园》MAPPING 作品设置在重庆儿童公园一隅的一座小巧建筑之上，以色彩与光影为画笔，将整面立面化作一部流动的“艺术发展史”。画面从最初的原始涂鸦、图腾符号出发，延展至古典绘画的结构秩序，再到现代主义的解构与重组，最终迈向数字时代的像素、代码与虚拟影像。不同历史阶段的艺术风格在建筑表面不断交替、叠加、演化，像时间被折叠进空间。作品以轻快、通透的方式，将人类艺术千年的探索浓缩为一场适合孩子与家庭共同观看的光影旅程，让艺术史变得可感、可亲，也充满想象力。</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ascii="Calibri" w:hAnsi="Calibri" w:eastAsia="方正仿宋_GBK" w:cs="Times New Roman"/>
                <w:kern w:val="2"/>
                <w:sz w:val="18"/>
                <w:szCs w:val="18"/>
                <w:highlight w:val="none"/>
                <w:vertAlign w:val="baseline"/>
                <w:lang w:val="en-US" w:eastAsia="zh-CN" w:bidi="ar-SA"/>
              </w:rPr>
              <w:t>刘子豪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sz w:val="18"/>
                <w:szCs w:val="18"/>
                <w:highlight w:val="none"/>
                <w:vertAlign w:val="baseline"/>
                <w:lang w:val="en-US" w:eastAsia="zh-CN"/>
              </w:rPr>
              <w:t>22</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686912" behindDoc="0" locked="0" layoutInCell="1" allowOverlap="1">
                  <wp:simplePos x="0" y="0"/>
                  <wp:positionH relativeFrom="column">
                    <wp:posOffset>0</wp:posOffset>
                  </wp:positionH>
                  <wp:positionV relativeFrom="paragraph">
                    <wp:posOffset>-640080</wp:posOffset>
                  </wp:positionV>
                  <wp:extent cx="1402080" cy="755015"/>
                  <wp:effectExtent l="0" t="0" r="7620" b="6985"/>
                  <wp:wrapTopAndBottom/>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6"/>
                          <a:stretch>
                            <a:fillRect/>
                          </a:stretch>
                        </pic:blipFill>
                        <pic:spPr>
                          <a:xfrm>
                            <a:off x="0" y="0"/>
                            <a:ext cx="1402080" cy="75501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锦上万象》以中国传统丝绸纹样为灵感，比如来自蜀锦、宋锦、侗族织锦等，将千年织造的纹理、色彩与寓意，用MAPPING的方式重新点亮。作品在重庆儿童公园的小小建筑上展开，如同一幅会呼吸的织锦从墙面慢慢铺开。华丽的团花、云纹、瑞兽、羽饰在光影中层层展开，让每个观众看到传统的浪漫，也重新遇见东方纹样的深邃与温柔。它是一块流动的“锦”，把万象之美织进夜色里。</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ascii="Calibri" w:hAnsi="Calibri" w:eastAsia="方正仿宋_GBK" w:cs="Times New Roman"/>
                <w:kern w:val="2"/>
                <w:sz w:val="18"/>
                <w:szCs w:val="18"/>
                <w:highlight w:val="none"/>
                <w:vertAlign w:val="baseline"/>
                <w:lang w:val="en-US" w:eastAsia="zh-CN" w:bidi="ar-SA"/>
              </w:rPr>
              <w:t>徐晗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23</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664384" behindDoc="0" locked="0" layoutInCell="1" allowOverlap="1">
                  <wp:simplePos x="0" y="0"/>
                  <wp:positionH relativeFrom="column">
                    <wp:posOffset>-25400</wp:posOffset>
                  </wp:positionH>
                  <wp:positionV relativeFrom="paragraph">
                    <wp:posOffset>260350</wp:posOffset>
                  </wp:positionV>
                  <wp:extent cx="1436370" cy="777875"/>
                  <wp:effectExtent l="0" t="0" r="11430" b="3175"/>
                  <wp:wrapSquare wrapText="bothSides"/>
                  <wp:docPr id="28" name="图片 28" descr="da9864dcb80f6eec50e5f8f3d8139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a9864dcb80f6eec50e5f8f3d81391f3"/>
                          <pic:cNvPicPr>
                            <a:picLocks noChangeAspect="1"/>
                          </pic:cNvPicPr>
                        </pic:nvPicPr>
                        <pic:blipFill>
                          <a:blip r:embed="rId23"/>
                          <a:stretch>
                            <a:fillRect/>
                          </a:stretch>
                        </pic:blipFill>
                        <pic:spPr>
                          <a:xfrm>
                            <a:off x="0" y="0"/>
                            <a:ext cx="1436370" cy="777875"/>
                          </a:xfrm>
                          <a:prstGeom prst="rect">
                            <a:avLst/>
                          </a:prstGeom>
                        </pic:spPr>
                      </pic:pic>
                    </a:graphicData>
                  </a:graphic>
                </wp:anchor>
              </w:drawing>
            </w:r>
            <w:r>
              <w:rPr>
                <w:rFonts w:hint="eastAsia"/>
                <w:sz w:val="18"/>
                <w:szCs w:val="18"/>
                <w:highlight w:val="none"/>
                <w:vertAlign w:val="baseline"/>
                <w:lang w:val="en-US" w:eastAsia="zh-CN"/>
              </w:rPr>
              <w:t>室内纱幕</w:t>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本次作品以纱幕为主要载体，画面语言极简克制，强调线条、光影与节奏的纯粹关系，呈现出具有现代感的视觉气质。影像不再承担叙事功能，而是作为一种“呼吸中的空间”，与舞蹈演员的即兴身体动作形成实时对话。舞者的每一次伸展、回旋与停顿，都会被纱幕上的光影放大、回应与延展，仿佛生命在虚实之间彼此牵引。作品试图从最本质的层面出发，探讨生命的流动、感知与存在状态，让观众在极简与留白中，重新感受身体、时间与生命本身的微妙关联。</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孟子然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24</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663360" behindDoc="1" locked="0" layoutInCell="1" allowOverlap="1">
                  <wp:simplePos x="0" y="0"/>
                  <wp:positionH relativeFrom="column">
                    <wp:posOffset>-22225</wp:posOffset>
                  </wp:positionH>
                  <wp:positionV relativeFrom="paragraph">
                    <wp:posOffset>254000</wp:posOffset>
                  </wp:positionV>
                  <wp:extent cx="1437640" cy="853440"/>
                  <wp:effectExtent l="0" t="0" r="10160" b="3810"/>
                  <wp:wrapTight wrapText="bothSides">
                    <wp:wrapPolygon>
                      <wp:start x="0" y="0"/>
                      <wp:lineTo x="0" y="21214"/>
                      <wp:lineTo x="21180" y="21214"/>
                      <wp:lineTo x="21180" y="0"/>
                      <wp:lineTo x="0" y="0"/>
                    </wp:wrapPolygon>
                  </wp:wrapTight>
                  <wp:docPr id="29" name="图片 29" descr="0e4a8652567feae527dc027797c3b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e4a8652567feae527dc027797c3b847"/>
                          <pic:cNvPicPr>
                            <a:picLocks noChangeAspect="1"/>
                          </pic:cNvPicPr>
                        </pic:nvPicPr>
                        <pic:blipFill>
                          <a:blip r:embed="rId21"/>
                          <a:stretch>
                            <a:fillRect/>
                          </a:stretch>
                        </pic:blipFill>
                        <pic:spPr>
                          <a:xfrm>
                            <a:off x="0" y="0"/>
                            <a:ext cx="1437640" cy="853440"/>
                          </a:xfrm>
                          <a:prstGeom prst="rect">
                            <a:avLst/>
                          </a:prstGeom>
                        </pic:spPr>
                      </pic:pic>
                    </a:graphicData>
                  </a:graphic>
                </wp:anchor>
              </w:drawing>
            </w:r>
            <w:r>
              <w:rPr>
                <w:rFonts w:hint="eastAsia"/>
                <w:sz w:val="18"/>
                <w:szCs w:val="18"/>
                <w:highlight w:val="none"/>
                <w:vertAlign w:val="baseline"/>
                <w:lang w:val="en-US" w:eastAsia="zh-CN"/>
              </w:rPr>
              <w:t>室外纱幕</w:t>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来到世界的第一年》以孩子的视角展开叙事。孩子眼中的世界没有边界，他们相信风会歌唱、光能呼吸、树木会低语，连尘埃也闪烁着生命的光。作品试图还原这种最纯粹的感知状态，用柔和的色彩与流动的节奏去描绘自然的脉动与生命的节律。光与影在画面中不断交织、呼吸、伸展，如同心跳的频率，带领观者进入一个既真实又梦幻的时空。每一束光都像是一种情感的触须，轻轻连接起观者与世界的温度。我们希望观众在这段光影旅程中，能暂时放下成人世界的理性，重新感受那份久违的惊奇与温柔，找回与自然、与生命、与爱之间最原初的共鸣。</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赵瑜佳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cstheme="minorBidi"/>
                <w:kern w:val="2"/>
                <w:sz w:val="18"/>
                <w:szCs w:val="18"/>
                <w:highlight w:val="none"/>
                <w:vertAlign w:val="baseline"/>
                <w:lang w:val="en-US" w:eastAsia="zh-CN" w:bidi="ar-SA"/>
              </w:rPr>
            </w:pPr>
          </w:p>
        </w:tc>
        <w:tc>
          <w:tcPr>
            <w:tcW w:w="4799" w:type="pct"/>
            <w:gridSpan w:val="3"/>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共计：</w:t>
            </w:r>
          </w:p>
        </w:tc>
      </w:tr>
    </w:tbl>
    <w:p>
      <w:pPr>
        <w:rPr>
          <w:rFonts w:hint="default"/>
          <w:lang w:val="en-US" w:eastAsia="zh-CN"/>
        </w:rPr>
      </w:pPr>
    </w:p>
    <w:p>
      <w:pPr>
        <w:spacing w:line="360" w:lineRule="auto"/>
        <w:ind w:firstLine="400" w:firstLineChars="200"/>
        <w:rPr>
          <w:rFonts w:hint="eastAsia" w:ascii="宋体" w:hAnsi="宋体" w:cs="宋体"/>
          <w:bCs/>
          <w:color w:val="auto"/>
          <w:kern w:val="0"/>
          <w:sz w:val="20"/>
          <w:szCs w:val="20"/>
          <w:highlight w:val="none"/>
          <w:lang w:val="en-US" w:eastAsia="zh-CN"/>
        </w:rPr>
      </w:pPr>
      <w:r>
        <w:rPr>
          <w:rFonts w:hint="eastAsia" w:ascii="宋体" w:hAnsi="宋体" w:cs="宋体"/>
          <w:color w:val="auto"/>
          <w:sz w:val="20"/>
          <w:szCs w:val="20"/>
          <w:highlight w:val="none"/>
        </w:rPr>
        <w:t xml:space="preserve"> </w:t>
      </w:r>
      <w:r>
        <w:rPr>
          <w:rFonts w:hint="eastAsia" w:ascii="宋体" w:hAnsi="宋体" w:cs="宋体"/>
          <w:color w:val="auto"/>
          <w:sz w:val="20"/>
          <w:szCs w:val="20"/>
          <w:highlight w:val="none"/>
          <w:lang w:val="en-US" w:eastAsia="zh-CN"/>
        </w:rPr>
        <w:t>时间要求：</w:t>
      </w:r>
      <w:r>
        <w:rPr>
          <w:rFonts w:hint="eastAsia" w:ascii="宋体" w:hAnsi="宋体" w:cs="宋体"/>
          <w:bCs/>
          <w:color w:val="auto"/>
          <w:kern w:val="0"/>
          <w:sz w:val="20"/>
          <w:szCs w:val="20"/>
          <w:highlight w:val="none"/>
          <w:lang w:val="en-US" w:eastAsia="zh-CN"/>
        </w:rPr>
        <w:t>2025年12月31日前完成总策划编制、光影作品邀约及效果呈现。</w:t>
      </w:r>
    </w:p>
    <w:p>
      <w:pPr>
        <w:spacing w:line="360" w:lineRule="auto"/>
        <w:rPr>
          <w:b/>
          <w:color w:val="000000"/>
          <w:szCs w:val="21"/>
        </w:rPr>
      </w:pPr>
      <w:r>
        <w:rPr>
          <w:rFonts w:hint="eastAsia"/>
          <w:b/>
          <w:color w:val="000000"/>
          <w:szCs w:val="21"/>
        </w:rPr>
        <w:t>二、费用及付款方式</w:t>
      </w:r>
    </w:p>
    <w:p>
      <w:pPr>
        <w:spacing w:line="360" w:lineRule="auto"/>
        <w:ind w:firstLine="422" w:firstLineChars="200"/>
        <w:rPr>
          <w:color w:val="000000"/>
          <w:szCs w:val="21"/>
        </w:rPr>
      </w:pPr>
      <w:r>
        <w:rPr>
          <w:rFonts w:hint="eastAsia"/>
          <w:b/>
          <w:bCs/>
          <w:color w:val="000000"/>
          <w:szCs w:val="21"/>
        </w:rPr>
        <w:t>（一）合同费用</w:t>
      </w:r>
    </w:p>
    <w:p>
      <w:pPr>
        <w:spacing w:line="440" w:lineRule="exact"/>
        <w:ind w:firstLine="420" w:firstLineChars="200"/>
        <w:rPr>
          <w:rFonts w:hint="eastAsia"/>
          <w:color w:val="000000"/>
          <w:szCs w:val="21"/>
          <w:lang w:eastAsia="zh-CN"/>
        </w:rPr>
      </w:pPr>
      <w:r>
        <w:rPr>
          <w:rFonts w:hint="eastAsia"/>
          <w:color w:val="000000"/>
          <w:szCs w:val="21"/>
          <w:lang w:val="en-US" w:eastAsia="zh-CN"/>
        </w:rPr>
        <w:t>1、</w:t>
      </w:r>
      <w:r>
        <w:rPr>
          <w:rFonts w:hint="eastAsia" w:cs="Times New Roman"/>
          <w:b w:val="0"/>
          <w:bCs w:val="0"/>
          <w:color w:val="000000"/>
          <w:kern w:val="2"/>
          <w:sz w:val="21"/>
          <w:szCs w:val="21"/>
          <w:lang w:val="en-US" w:eastAsia="zh-CN" w:bidi="ar-SA"/>
        </w:rPr>
        <w:t>2026年重庆之夜·</w:t>
      </w:r>
      <w:r>
        <w:rPr>
          <w:rFonts w:hint="eastAsia" w:ascii="Times New Roman" w:hAnsi="Times New Roman" w:eastAsia="宋体" w:cs="Times New Roman"/>
          <w:b w:val="0"/>
          <w:bCs w:val="0"/>
          <w:color w:val="000000"/>
          <w:kern w:val="2"/>
          <w:sz w:val="21"/>
          <w:szCs w:val="21"/>
          <w:lang w:val="en-US" w:eastAsia="zh-CN" w:bidi="ar-SA"/>
        </w:rPr>
        <w:t>国际光影文化旅游季含税价￥*****元，（大写：*****元整）</w:t>
      </w:r>
      <w:r>
        <w:rPr>
          <w:rFonts w:hint="eastAsia" w:ascii="宋体" w:hAnsi="宋体" w:cs="宋体"/>
          <w:color w:val="auto"/>
          <w:highlight w:val="none"/>
          <w:lang w:val="en-US" w:eastAsia="zh-CN"/>
        </w:rPr>
        <w:t>总策划编制按照中选综合单价包干据实结算。</w:t>
      </w:r>
    </w:p>
    <w:tbl>
      <w:tblPr>
        <w:tblStyle w:val="54"/>
        <w:tblW w:w="100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58"/>
        <w:gridCol w:w="475"/>
        <w:gridCol w:w="463"/>
        <w:gridCol w:w="1656"/>
        <w:gridCol w:w="2438"/>
        <w:gridCol w:w="1475"/>
        <w:gridCol w:w="762"/>
        <w:gridCol w:w="875"/>
        <w:gridCol w:w="15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78" w:type="pct"/>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序号</w:t>
            </w:r>
          </w:p>
        </w:tc>
        <w:tc>
          <w:tcPr>
            <w:tcW w:w="237" w:type="pct"/>
            <w:tcBorders>
              <w:top w:val="nil"/>
              <w:left w:val="single" w:color="000000" w:sz="4" w:space="0"/>
              <w:bottom w:val="single" w:color="000000" w:sz="4" w:space="0"/>
              <w:right w:val="single" w:color="000000" w:sz="4" w:space="0"/>
            </w:tcBorders>
            <w:shd w:val="clear" w:color="auto" w:fill="A6A6A6"/>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策划内容</w:t>
            </w:r>
          </w:p>
        </w:tc>
        <w:tc>
          <w:tcPr>
            <w:tcW w:w="1057" w:type="pct"/>
            <w:gridSpan w:val="2"/>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具体内容</w:t>
            </w:r>
          </w:p>
        </w:tc>
        <w:tc>
          <w:tcPr>
            <w:tcW w:w="1217" w:type="pct"/>
            <w:tcBorders>
              <w:top w:val="nil"/>
              <w:left w:val="single" w:color="000000" w:sz="4" w:space="0"/>
              <w:bottom w:val="single" w:color="000000" w:sz="4" w:space="0"/>
              <w:right w:val="single" w:color="000000" w:sz="4" w:space="0"/>
            </w:tcBorders>
            <w:shd w:val="clear" w:color="auto" w:fill="A6A6A6"/>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要求</w:t>
            </w:r>
          </w:p>
        </w:tc>
        <w:tc>
          <w:tcPr>
            <w:tcW w:w="736" w:type="pct"/>
            <w:tcBorders>
              <w:top w:val="nil"/>
              <w:left w:val="single" w:color="000000" w:sz="4" w:space="0"/>
              <w:bottom w:val="single" w:color="000000" w:sz="4" w:space="0"/>
              <w:right w:val="nil"/>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kern w:val="0"/>
                <w:sz w:val="18"/>
                <w:szCs w:val="18"/>
                <w:u w:val="none"/>
                <w:lang w:val="en-US" w:eastAsia="zh-CN" w:bidi="ar"/>
              </w:rPr>
            </w:pPr>
            <w:r>
              <w:rPr>
                <w:rFonts w:hint="eastAsia" w:ascii="方正仿宋_GBK" w:hAnsi="方正仿宋_GBK" w:eastAsia="方正仿宋_GBK" w:cs="方正仿宋_GBK"/>
                <w:b/>
                <w:bCs/>
                <w:i w:val="0"/>
                <w:iCs w:val="0"/>
                <w:color w:val="000000"/>
                <w:kern w:val="0"/>
                <w:sz w:val="18"/>
                <w:szCs w:val="18"/>
                <w:u w:val="none"/>
                <w:lang w:val="en-US" w:eastAsia="zh-CN" w:bidi="ar"/>
              </w:rPr>
              <w:t>单项价格</w:t>
            </w:r>
          </w:p>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（元）</w:t>
            </w:r>
          </w:p>
        </w:tc>
        <w:tc>
          <w:tcPr>
            <w:tcW w:w="380" w:type="pct"/>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单位</w:t>
            </w:r>
          </w:p>
        </w:tc>
        <w:tc>
          <w:tcPr>
            <w:tcW w:w="436" w:type="pct"/>
            <w:tcBorders>
              <w:top w:val="nil"/>
              <w:left w:val="nil"/>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数量</w:t>
            </w:r>
          </w:p>
        </w:tc>
        <w:tc>
          <w:tcPr>
            <w:tcW w:w="755" w:type="pct"/>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kern w:val="0"/>
                <w:sz w:val="18"/>
                <w:szCs w:val="18"/>
                <w:u w:val="none"/>
                <w:lang w:val="en-US" w:eastAsia="zh-CN" w:bidi="ar"/>
              </w:rPr>
            </w:pPr>
            <w:r>
              <w:rPr>
                <w:rFonts w:hint="eastAsia" w:ascii="方正仿宋_GBK" w:hAnsi="方正仿宋_GBK" w:eastAsia="方正仿宋_GBK" w:cs="方正仿宋_GBK"/>
                <w:b/>
                <w:bCs/>
                <w:i w:val="0"/>
                <w:iCs w:val="0"/>
                <w:color w:val="000000"/>
                <w:kern w:val="0"/>
                <w:sz w:val="18"/>
                <w:szCs w:val="18"/>
                <w:u w:val="none"/>
                <w:lang w:val="en-US" w:eastAsia="zh-CN" w:bidi="ar"/>
              </w:rPr>
              <w:t>单项总价</w:t>
            </w:r>
          </w:p>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活动策划</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1.1</w:t>
            </w:r>
          </w:p>
        </w:tc>
        <w:tc>
          <w:tcPr>
            <w:tcW w:w="826"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重庆国际光影文化旅游节顶层规划</w:t>
            </w:r>
          </w:p>
        </w:tc>
        <w:tc>
          <w:tcPr>
            <w:tcW w:w="121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根据旅游节整体定位及未来目标，制定本届旅游节顶层规划</w:t>
            </w:r>
          </w:p>
        </w:tc>
        <w:tc>
          <w:tcPr>
            <w:tcW w:w="736" w:type="pct"/>
            <w:tcBorders>
              <w:top w:val="nil"/>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按中选价格填写</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436" w:type="pct"/>
            <w:tcBorders>
              <w:top w:val="nil"/>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sz w:val="18"/>
                <w:szCs w:val="18"/>
                <w:u w:val="none"/>
                <w:lang w:val="en-US" w:eastAsia="zh-CN"/>
              </w:rPr>
              <w:t>按中选价格填写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1.2</w:t>
            </w:r>
          </w:p>
        </w:tc>
        <w:tc>
          <w:tcPr>
            <w:tcW w:w="826"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重庆国际光影文化旅游节展览策划</w:t>
            </w:r>
          </w:p>
        </w:tc>
        <w:tc>
          <w:tcPr>
            <w:tcW w:w="121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包含展览策划、作品点位策划、赛事策划、宣发策划等</w:t>
            </w:r>
          </w:p>
        </w:tc>
        <w:tc>
          <w:tcPr>
            <w:tcW w:w="736" w:type="pct"/>
            <w:tcBorders>
              <w:top w:val="nil"/>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436" w:type="pct"/>
            <w:tcBorders>
              <w:top w:val="nil"/>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1.3</w:t>
            </w:r>
          </w:p>
        </w:tc>
        <w:tc>
          <w:tcPr>
            <w:tcW w:w="826"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 xml:space="preserve"> 重庆国际光影文化旅游节系列活动策划</w:t>
            </w:r>
          </w:p>
        </w:tc>
        <w:tc>
          <w:tcPr>
            <w:tcW w:w="121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包含评审会议、颁奖典礼、开幕式、启幕活动、研讨会等系列活动策划</w:t>
            </w:r>
          </w:p>
        </w:tc>
        <w:tc>
          <w:tcPr>
            <w:tcW w:w="736" w:type="pct"/>
            <w:tcBorders>
              <w:top w:val="nil"/>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嘉宾邀请</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嘉宾邀约</w:t>
            </w:r>
          </w:p>
        </w:tc>
        <w:tc>
          <w:tcPr>
            <w:tcW w:w="1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联系并邀请国际灯光节主办方、行业专家、艺术院校代表参与2026年重庆之夜·国际光影文化旅游节</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沟通对接</w:t>
            </w:r>
          </w:p>
        </w:tc>
        <w:tc>
          <w:tcPr>
            <w:tcW w:w="1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确定相关出席人员行程安排、内容及流程对接协调</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物料设计及制作</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3.1</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主视觉设计</w:t>
            </w:r>
          </w:p>
        </w:tc>
        <w:tc>
          <w:tcPr>
            <w:tcW w:w="1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2026光影文化旅游节主视觉设计</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3.2</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衍生物料设计</w:t>
            </w:r>
          </w:p>
        </w:tc>
        <w:tc>
          <w:tcPr>
            <w:tcW w:w="1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海报、展册、邀请函等相关物料设计</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3.3</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奖杯及证书设计制作</w:t>
            </w:r>
          </w:p>
        </w:tc>
        <w:tc>
          <w:tcPr>
            <w:tcW w:w="1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所有参赛参展艺术家证书，及获奖者奖杯设计与制作</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3.4</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礼品设计制作</w:t>
            </w:r>
          </w:p>
        </w:tc>
        <w:tc>
          <w:tcPr>
            <w:tcW w:w="12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包含水杯、雨伞、明信片、帆布包、衣服、3D打印小模型等各类纪念品</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份</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150</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44"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righ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总额</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¥300000.00</w:t>
            </w:r>
          </w:p>
        </w:tc>
      </w:tr>
    </w:tbl>
    <w:p>
      <w:pPr>
        <w:pStyle w:val="50"/>
        <w:keepNext w:val="0"/>
        <w:keepLines w:val="0"/>
        <w:pageBreakBefore w:val="0"/>
        <w:widowControl w:val="0"/>
        <w:kinsoku/>
        <w:wordWrap/>
        <w:overflowPunct/>
        <w:topLinePunct w:val="0"/>
        <w:autoSpaceDE/>
        <w:autoSpaceDN/>
        <w:bidi w:val="0"/>
        <w:adjustRightInd/>
        <w:snapToGrid/>
        <w:spacing w:before="0" w:after="0"/>
        <w:jc w:val="both"/>
        <w:textAlignment w:val="auto"/>
        <w:rPr>
          <w:rFonts w:hint="eastAsia" w:ascii="Times New Roman" w:hAnsi="Times New Roman" w:eastAsia="宋体" w:cs="Times New Roman"/>
          <w:b w:val="0"/>
          <w:bCs w:val="0"/>
          <w:color w:val="000000"/>
          <w:kern w:val="2"/>
          <w:sz w:val="21"/>
          <w:szCs w:val="21"/>
          <w:lang w:val="en-US" w:eastAsia="zh-CN" w:bidi="ar-SA"/>
        </w:rPr>
      </w:pPr>
    </w:p>
    <w:p>
      <w:pPr>
        <w:pStyle w:val="50"/>
        <w:keepNext w:val="0"/>
        <w:keepLines w:val="0"/>
        <w:pageBreakBefore w:val="0"/>
        <w:widowControl w:val="0"/>
        <w:kinsoku/>
        <w:wordWrap/>
        <w:overflowPunct/>
        <w:topLinePunct w:val="0"/>
        <w:autoSpaceDE/>
        <w:autoSpaceDN/>
        <w:bidi w:val="0"/>
        <w:adjustRightInd/>
        <w:snapToGrid/>
        <w:spacing w:before="0" w:after="0"/>
        <w:jc w:val="both"/>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2、</w:t>
      </w:r>
      <w:r>
        <w:rPr>
          <w:rFonts w:hint="eastAsia" w:ascii="Times New Roman" w:hAnsi="Times New Roman" w:cs="Times New Roman"/>
          <w:b w:val="0"/>
          <w:bCs w:val="0"/>
          <w:color w:val="000000"/>
          <w:kern w:val="2"/>
          <w:sz w:val="21"/>
          <w:szCs w:val="21"/>
          <w:lang w:val="en-US" w:eastAsia="zh-CN" w:bidi="ar-SA"/>
        </w:rPr>
        <w:t>2026年重庆之夜·</w:t>
      </w:r>
      <w:r>
        <w:rPr>
          <w:rFonts w:hint="eastAsia" w:ascii="Times New Roman" w:hAnsi="Times New Roman" w:eastAsia="宋体" w:cs="Times New Roman"/>
          <w:b w:val="0"/>
          <w:bCs w:val="0"/>
          <w:color w:val="000000"/>
          <w:kern w:val="2"/>
          <w:sz w:val="21"/>
          <w:szCs w:val="21"/>
          <w:lang w:val="en-US" w:eastAsia="zh-CN" w:bidi="ar-SA"/>
        </w:rPr>
        <w:t>国际光影文化旅游季光影作品内容邀约补偿费含税价￥ 400000元，（大写：肆拾万元整），具体如下：</w:t>
      </w:r>
    </w:p>
    <w:tbl>
      <w:tblPr>
        <w:tblStyle w:val="5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819"/>
        <w:gridCol w:w="4732"/>
        <w:gridCol w:w="1292"/>
        <w:gridCol w:w="990"/>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20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序号</w:t>
            </w:r>
          </w:p>
        </w:tc>
        <w:tc>
          <w:tcPr>
            <w:tcW w:w="923"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项目地点</w:t>
            </w:r>
          </w:p>
        </w:tc>
        <w:tc>
          <w:tcPr>
            <w:tcW w:w="2404"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邀约作品简介</w:t>
            </w:r>
          </w:p>
        </w:tc>
        <w:tc>
          <w:tcPr>
            <w:tcW w:w="656"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邀约团队</w:t>
            </w:r>
          </w:p>
        </w:tc>
        <w:tc>
          <w:tcPr>
            <w:tcW w:w="502"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补偿费用</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（人民币：元）</w:t>
            </w:r>
          </w:p>
        </w:tc>
        <w:tc>
          <w:tcPr>
            <w:tcW w:w="311"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1</w:t>
            </w:r>
          </w:p>
        </w:tc>
        <w:tc>
          <w:tcPr>
            <w:tcW w:w="92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693056" behindDoc="0" locked="0" layoutInCell="1" allowOverlap="1">
                  <wp:simplePos x="0" y="0"/>
                  <wp:positionH relativeFrom="column">
                    <wp:posOffset>2540</wp:posOffset>
                  </wp:positionH>
                  <wp:positionV relativeFrom="paragraph">
                    <wp:posOffset>-1905</wp:posOffset>
                  </wp:positionV>
                  <wp:extent cx="1398270" cy="1165225"/>
                  <wp:effectExtent l="0" t="0" r="11430" b="15875"/>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a:stretch>
                            <a:fillRect/>
                          </a:stretch>
                        </pic:blipFill>
                        <pic:spPr>
                          <a:xfrm>
                            <a:off x="0" y="0"/>
                            <a:ext cx="1398270" cy="1165225"/>
                          </a:xfrm>
                          <a:prstGeom prst="rect">
                            <a:avLst/>
                          </a:prstGeom>
                          <a:noFill/>
                          <a:ln>
                            <a:noFill/>
                          </a:ln>
                        </pic:spPr>
                      </pic:pic>
                    </a:graphicData>
                  </a:graphic>
                </wp:anchor>
              </w:drawing>
            </w:r>
          </w:p>
        </w:tc>
        <w:tc>
          <w:tcPr>
            <w:tcW w:w="2404"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小小创造者</w:t>
            </w: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是一群特殊的存在，只要有新的世界需要被建造，它们便会出现。它们通过</w:t>
            </w:r>
            <w:r>
              <w:rPr>
                <w:rFonts w:hint="eastAsia" w:ascii="方正仿宋_GB2312" w:hAnsi="方正仿宋_GB2312" w:eastAsia="方正仿宋_GB2312" w:cs="方正仿宋_GB2312"/>
                <w:sz w:val="18"/>
                <w:szCs w:val="18"/>
                <w:highlight w:val="none"/>
                <w:vertAlign w:val="baseline"/>
                <w:lang w:eastAsia="zh-CN"/>
              </w:rPr>
              <w:t>由</w:t>
            </w:r>
            <w:r>
              <w:rPr>
                <w:rFonts w:hint="eastAsia" w:ascii="方正仿宋_GB2312" w:hAnsi="方正仿宋_GB2312" w:eastAsia="方正仿宋_GB2312" w:cs="方正仿宋_GB2312"/>
                <w:sz w:val="18"/>
                <w:szCs w:val="18"/>
                <w:highlight w:val="none"/>
                <w:vertAlign w:val="baseline"/>
              </w:rPr>
              <w:t>天空坠落的粒子所开启的传送之门穿越而来。无论走到哪里，它们都会为原本空无一物的空间注入生命，让“无”被塑造成“有”。当它们完成使命，便悄然离开，继续前往下一个等待被创造的地方。</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ascii="Calibri" w:hAnsi="Calibri" w:eastAsia="方正仿宋_GBK" w:cs="Times New Roman"/>
                <w:kern w:val="2"/>
                <w:sz w:val="18"/>
                <w:szCs w:val="18"/>
                <w:highlight w:val="none"/>
                <w:vertAlign w:val="baseline"/>
                <w:lang w:val="en-US" w:eastAsia="zh-CN" w:bidi="ar-SA"/>
              </w:rPr>
            </w:pPr>
            <w:r>
              <w:rPr>
                <w:rFonts w:hint="eastAsia" w:ascii="Calibri" w:hAnsi="Calibri" w:eastAsia="方正仿宋_GBK" w:cs="Times New Roman"/>
                <w:kern w:val="2"/>
                <w:sz w:val="18"/>
                <w:szCs w:val="18"/>
                <w:highlight w:val="none"/>
                <w:vertAlign w:val="baseline"/>
                <w:lang w:val="en-US" w:eastAsia="zh-CN" w:bidi="ar-SA"/>
              </w:rPr>
              <w:t>Maxin10sity</w:t>
            </w:r>
            <w:r>
              <w:rPr>
                <w:rFonts w:hint="eastAsia" w:cs="Times New Roman"/>
                <w:kern w:val="2"/>
                <w:sz w:val="18"/>
                <w:szCs w:val="18"/>
                <w:highlight w:val="none"/>
                <w:vertAlign w:val="baseline"/>
                <w:lang w:val="en-US" w:eastAsia="zh-CN" w:bidi="ar-SA"/>
              </w:rPr>
              <w:t>（匈牙利）</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2</w:t>
            </w:r>
          </w:p>
        </w:tc>
        <w:tc>
          <w:tcPr>
            <w:tcW w:w="92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694080" behindDoc="0" locked="0" layoutInCell="1" allowOverlap="1">
                  <wp:simplePos x="0" y="0"/>
                  <wp:positionH relativeFrom="column">
                    <wp:posOffset>0</wp:posOffset>
                  </wp:positionH>
                  <wp:positionV relativeFrom="paragraph">
                    <wp:posOffset>-640080</wp:posOffset>
                  </wp:positionV>
                  <wp:extent cx="1402080" cy="755015"/>
                  <wp:effectExtent l="0" t="0" r="7620" b="6985"/>
                  <wp:wrapTopAndBottom/>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6"/>
                          <a:stretch>
                            <a:fillRect/>
                          </a:stretch>
                        </pic:blipFill>
                        <pic:spPr>
                          <a:xfrm>
                            <a:off x="0" y="0"/>
                            <a:ext cx="1402080" cy="755015"/>
                          </a:xfrm>
                          <a:prstGeom prst="rect">
                            <a:avLst/>
                          </a:prstGeom>
                          <a:noFill/>
                          <a:ln>
                            <a:noFill/>
                          </a:ln>
                        </pic:spPr>
                      </pic:pic>
                    </a:graphicData>
                  </a:graphic>
                </wp:anchor>
              </w:drawing>
            </w:r>
          </w:p>
        </w:tc>
        <w:tc>
          <w:tcPr>
            <w:tcW w:w="2404"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sz w:val="18"/>
                <w:szCs w:val="18"/>
                <w:highlight w:val="none"/>
                <w:vertAlign w:val="baseline"/>
                <w:lang w:eastAsia="zh-CN"/>
              </w:rPr>
            </w:pPr>
            <w:r>
              <w:rPr>
                <w:rFonts w:hint="eastAsia" w:ascii="方正仿宋_GB2312" w:hAnsi="方正仿宋_GB2312" w:eastAsia="方正仿宋_GB2312" w:cs="方正仿宋_GB2312"/>
                <w:sz w:val="18"/>
                <w:szCs w:val="18"/>
                <w:highlight w:val="none"/>
                <w:vertAlign w:val="baseline"/>
              </w:rPr>
              <w:t>本作品以“可爱海底童话王国”为主题，将整座建筑化作一片会呼吸的梦幻深海。五彩珊瑚在墙面生长，水母如小灯笼般缓缓漂浮，小鱼成群穿梭，海马、章鱼与贝壳精灵轮番登场，组成一个充满童趣的水下世界。画面节奏轻快明亮，色彩柔软通透，像一本被翻开的立体童话书。孩子们可以在光影中“潜入”海底，与这些可爱的海洋伙伴互动、追逐与游戏。作品以温柔的方式讲述勇气、友谊与探索的故事，让观众在轻松愉悦的氛围中，找回对自然与想象力最纯真的向往</w:t>
            </w:r>
            <w:r>
              <w:rPr>
                <w:rFonts w:hint="eastAsia" w:ascii="方正仿宋_GB2312" w:hAnsi="方正仿宋_GB2312" w:eastAsia="方正仿宋_GB2312" w:cs="方正仿宋_GB2312"/>
                <w:sz w:val="18"/>
                <w:szCs w:val="18"/>
                <w:highlight w:val="none"/>
                <w:vertAlign w:val="baseline"/>
                <w:lang w:eastAsia="zh-CN"/>
              </w:rPr>
              <w:t>。</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AVA Animation &amp; Visual Arts（墨西哥）</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3</w:t>
            </w:r>
          </w:p>
        </w:tc>
        <w:tc>
          <w:tcPr>
            <w:tcW w:w="92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695104" behindDoc="0" locked="0" layoutInCell="1" allowOverlap="1">
                  <wp:simplePos x="0" y="0"/>
                  <wp:positionH relativeFrom="column">
                    <wp:posOffset>0</wp:posOffset>
                  </wp:positionH>
                  <wp:positionV relativeFrom="paragraph">
                    <wp:posOffset>-621030</wp:posOffset>
                  </wp:positionV>
                  <wp:extent cx="1395095" cy="725805"/>
                  <wp:effectExtent l="0" t="0" r="14605" b="17145"/>
                  <wp:wrapTopAndBottom/>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7"/>
                          <a:stretch>
                            <a:fillRect/>
                          </a:stretch>
                        </pic:blipFill>
                        <pic:spPr>
                          <a:xfrm>
                            <a:off x="0" y="0"/>
                            <a:ext cx="1395095" cy="725805"/>
                          </a:xfrm>
                          <a:prstGeom prst="rect">
                            <a:avLst/>
                          </a:prstGeom>
                          <a:noFill/>
                          <a:ln>
                            <a:noFill/>
                          </a:ln>
                        </pic:spPr>
                      </pic:pic>
                    </a:graphicData>
                  </a:graphic>
                </wp:anchor>
              </w:drawing>
            </w:r>
          </w:p>
        </w:tc>
        <w:tc>
          <w:tcPr>
            <w:tcW w:w="2404"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rPr>
              <w:t>作品以印尼传统儿童童话为灵感，将古老传说中的森林、海洋、神鸟与精灵搬上建筑立面。画面采用明亮而富有热带气息的色彩，伴随轻快的音乐节奏展开，一段段关于勇气、善良与成长的故事在光影中流动。主人公在奇幻世界中不断遇见困难，又在伙伴的帮助下学会分享与坚持。作品通过温柔、童趣的视觉</w:t>
            </w:r>
            <w:r>
              <w:rPr>
                <w:rFonts w:hint="eastAsia" w:ascii="方正仿宋_GB2312" w:hAnsi="方正仿宋_GB2312" w:eastAsia="方正仿宋_GB2312" w:cs="方正仿宋_GB2312"/>
                <w:sz w:val="18"/>
                <w:szCs w:val="18"/>
                <w:highlight w:val="none"/>
                <w:vertAlign w:val="baseline"/>
                <w:lang w:eastAsia="zh-CN"/>
              </w:rPr>
              <w:t>形式</w:t>
            </w:r>
            <w:r>
              <w:rPr>
                <w:rFonts w:hint="eastAsia" w:ascii="方正仿宋_GB2312" w:hAnsi="方正仿宋_GB2312" w:eastAsia="方正仿宋_GB2312" w:cs="方正仿宋_GB2312"/>
                <w:sz w:val="18"/>
                <w:szCs w:val="18"/>
                <w:highlight w:val="none"/>
                <w:vertAlign w:val="baseline"/>
              </w:rPr>
              <w:t>，让孩子</w:t>
            </w:r>
            <w:r>
              <w:rPr>
                <w:rFonts w:hint="eastAsia" w:ascii="方正仿宋_GB2312" w:hAnsi="方正仿宋_GB2312" w:eastAsia="方正仿宋_GB2312" w:cs="方正仿宋_GB2312"/>
                <w:sz w:val="18"/>
                <w:szCs w:val="18"/>
                <w:highlight w:val="none"/>
                <w:vertAlign w:val="baseline"/>
                <w:lang w:eastAsia="zh-CN"/>
              </w:rPr>
              <w:t>们在</w:t>
            </w:r>
            <w:r>
              <w:rPr>
                <w:rFonts w:hint="eastAsia" w:ascii="方正仿宋_GB2312" w:hAnsi="方正仿宋_GB2312" w:eastAsia="方正仿宋_GB2312" w:cs="方正仿宋_GB2312"/>
                <w:sz w:val="18"/>
                <w:szCs w:val="18"/>
                <w:highlight w:val="none"/>
                <w:vertAlign w:val="baseline"/>
              </w:rPr>
              <w:t>沉浸体验中感受异域文化的魅力，也在故事的起伏中理解友谊、信任与希望的意义。</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The Fox the Folks（印度尼西亚）</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6" w:hRule="atLeast"/>
        </w:trPr>
        <w:tc>
          <w:tcPr>
            <w:tcW w:w="201"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4</w:t>
            </w:r>
          </w:p>
        </w:tc>
        <w:tc>
          <w:tcPr>
            <w:tcW w:w="92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eastAsiaTheme="minorEastAsia"/>
                <w:sz w:val="18"/>
                <w:szCs w:val="18"/>
                <w:highlight w:val="none"/>
                <w:vertAlign w:val="baseline"/>
                <w:lang w:eastAsia="zh-CN"/>
              </w:rPr>
            </w:pPr>
            <w:r>
              <w:rPr>
                <w:rFonts w:hint="eastAsia" w:eastAsiaTheme="minorEastAsia"/>
                <w:sz w:val="18"/>
                <w:szCs w:val="18"/>
                <w:highlight w:val="none"/>
                <w:vertAlign w:val="baseline"/>
                <w:lang w:eastAsia="zh-CN"/>
              </w:rPr>
              <w:drawing>
                <wp:anchor distT="0" distB="0" distL="114300" distR="114300" simplePos="0" relativeHeight="251696128" behindDoc="0" locked="0" layoutInCell="1" allowOverlap="1">
                  <wp:simplePos x="0" y="0"/>
                  <wp:positionH relativeFrom="column">
                    <wp:posOffset>0</wp:posOffset>
                  </wp:positionH>
                  <wp:positionV relativeFrom="paragraph">
                    <wp:posOffset>-1135380</wp:posOffset>
                  </wp:positionV>
                  <wp:extent cx="1393825" cy="1238885"/>
                  <wp:effectExtent l="0" t="0" r="15875" b="18415"/>
                  <wp:wrapTopAndBottom/>
                  <wp:docPr id="33" name="图片 33" descr="L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LED MODEL"/>
                          <pic:cNvPicPr>
                            <a:picLocks noChangeAspect="1"/>
                          </pic:cNvPicPr>
                        </pic:nvPicPr>
                        <pic:blipFill>
                          <a:blip r:embed="rId18"/>
                          <a:stretch>
                            <a:fillRect/>
                          </a:stretch>
                        </pic:blipFill>
                        <pic:spPr>
                          <a:xfrm>
                            <a:off x="0" y="0"/>
                            <a:ext cx="1393825" cy="1238885"/>
                          </a:xfrm>
                          <a:prstGeom prst="rect">
                            <a:avLst/>
                          </a:prstGeom>
                        </pic:spPr>
                      </pic:pic>
                    </a:graphicData>
                  </a:graphic>
                </wp:anchor>
              </w:drawing>
            </w:r>
          </w:p>
        </w:tc>
        <w:tc>
          <w:tcPr>
            <w:tcW w:w="2404"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rPr>
              <w:t>作品以黑白线条构建纯粹的抽象空间，将数学逻辑转化为可感知的视觉秩序。直线、曲线、网格与旋转在画面中不断推演，形成类似公式演算般的节奏变化。线条的生长、叠加与断裂，既遵循精密的比例关系，又在微小偏移中释放不确定性。作品试图以最克制的色彩与最理性的结构，探讨“规律”与“偏差”之间的张力，让观众在冷静的数学美感中，感受到秩序背后潜藏的情绪脉动与能量流动。</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Restungsschmie.de（德国）</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24000</w:t>
            </w:r>
          </w:p>
        </w:tc>
        <w:tc>
          <w:tcPr>
            <w:tcW w:w="311"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5</w:t>
            </w:r>
          </w:p>
        </w:tc>
        <w:tc>
          <w:tcPr>
            <w:tcW w:w="92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697152" behindDoc="0" locked="0" layoutInCell="1" allowOverlap="1">
                  <wp:simplePos x="0" y="0"/>
                  <wp:positionH relativeFrom="column">
                    <wp:posOffset>0</wp:posOffset>
                  </wp:positionH>
                  <wp:positionV relativeFrom="paragraph">
                    <wp:posOffset>-678180</wp:posOffset>
                  </wp:positionV>
                  <wp:extent cx="1330960" cy="789940"/>
                  <wp:effectExtent l="0" t="0" r="2540" b="10160"/>
                  <wp:wrapTopAndBottom/>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9"/>
                          <a:stretch>
                            <a:fillRect/>
                          </a:stretch>
                        </pic:blipFill>
                        <pic:spPr>
                          <a:xfrm>
                            <a:off x="0" y="0"/>
                            <a:ext cx="1330960" cy="789940"/>
                          </a:xfrm>
                          <a:prstGeom prst="rect">
                            <a:avLst/>
                          </a:prstGeom>
                          <a:noFill/>
                          <a:ln>
                            <a:noFill/>
                          </a:ln>
                        </pic:spPr>
                      </pic:pic>
                    </a:graphicData>
                  </a:graphic>
                </wp:anchor>
              </w:drawing>
            </w:r>
          </w:p>
        </w:tc>
        <w:tc>
          <w:tcPr>
            <w:tcW w:w="2404"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rPr>
              <w:t>《Aeon》唤起塑造史前世界的原初能量，那是地球仍处于持续变化中</w:t>
            </w: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生命以最本能形态诞生的时代。作品并非再现具体的远古景象，而是指向深藏于地球最深层的古老节律</w:t>
            </w: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曾推动早期生命扩展与原初景观繁盛的能量脉动。它在混沌与秩序之间游走，揭示万物由物成生的本能驱动力，展现生长、演化与消亡本为同一循环。通过抽象而有机的视觉语言，Aeon 让人重新连接地球的深层记忆，将起源视为持续生成的状态，而非遥远的过去。</w:t>
            </w:r>
          </w:p>
        </w:tc>
        <w:tc>
          <w:tcPr>
            <w:tcW w:w="656"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VPM（西班牙）</w:t>
            </w:r>
          </w:p>
        </w:tc>
        <w:tc>
          <w:tcPr>
            <w:tcW w:w="502"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sz w:val="18"/>
                <w:szCs w:val="18"/>
                <w:highlight w:val="none"/>
                <w:vertAlign w:val="baseline"/>
              </w:rPr>
            </w:pPr>
            <w:r>
              <w:rPr>
                <w:rFonts w:hint="eastAsia" w:cs="Times New Roman"/>
                <w:kern w:val="2"/>
                <w:sz w:val="18"/>
                <w:szCs w:val="18"/>
                <w:highlight w:val="none"/>
                <w:vertAlign w:val="baseline"/>
                <w:lang w:val="en-US" w:eastAsia="zh-CN" w:bidi="ar-SA"/>
              </w:rPr>
              <w:t>16000</w:t>
            </w:r>
          </w:p>
        </w:tc>
        <w:tc>
          <w:tcPr>
            <w:tcW w:w="311"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sz w:val="18"/>
                <w:szCs w:val="18"/>
                <w:highlight w:val="none"/>
                <w:vertAlign w:val="baseline"/>
                <w:lang w:val="en-US" w:eastAsia="zh-CN"/>
              </w:rPr>
              <w:t>6</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highlight w:val="none"/>
              </w:rPr>
              <w:drawing>
                <wp:anchor distT="0" distB="0" distL="114300" distR="114300" simplePos="0" relativeHeight="251698176" behindDoc="0" locked="0" layoutInCell="1" allowOverlap="1">
                  <wp:simplePos x="0" y="0"/>
                  <wp:positionH relativeFrom="column">
                    <wp:posOffset>0</wp:posOffset>
                  </wp:positionH>
                  <wp:positionV relativeFrom="paragraph">
                    <wp:posOffset>-544830</wp:posOffset>
                  </wp:positionV>
                  <wp:extent cx="1337310" cy="648335"/>
                  <wp:effectExtent l="0" t="0" r="15240" b="18415"/>
                  <wp:wrapTopAndBottom/>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20"/>
                          <a:stretch>
                            <a:fillRect/>
                          </a:stretch>
                        </pic:blipFill>
                        <pic:spPr>
                          <a:xfrm>
                            <a:off x="0" y="0"/>
                            <a:ext cx="1337310" cy="648335"/>
                          </a:xfrm>
                          <a:prstGeom prst="rect">
                            <a:avLst/>
                          </a:prstGeom>
                          <a:noFill/>
                          <a:ln>
                            <a:noFill/>
                          </a:ln>
                        </pic:spPr>
                      </pic:pic>
                    </a:graphicData>
                  </a:graphic>
                </wp:anchor>
              </w:drawing>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sz w:val="18"/>
                <w:szCs w:val="18"/>
                <w:highlight w:val="none"/>
                <w:vertAlign w:val="baseline"/>
                <w:lang w:val="en-US" w:eastAsia="zh-CN"/>
              </w:rPr>
            </w:pPr>
            <w:r>
              <w:rPr>
                <w:rFonts w:hint="eastAsia" w:ascii="方正仿宋_GB2312" w:hAnsi="方正仿宋_GB2312" w:eastAsia="方正仿宋_GB2312" w:cs="方正仿宋_GB2312"/>
                <w:sz w:val="18"/>
                <w:szCs w:val="18"/>
                <w:highlight w:val="none"/>
                <w:vertAlign w:val="baseline"/>
              </w:rPr>
              <w:t>本作源于“现实隧道”理论，探讨个体如何在潜意识滤镜中感知世界。装置以45组可编程LED光条与同步环绕声构建地下光影结构，让声音与光在空间中流动共振。作品诞生于一处被唤醒的废弃地下空间，将被遗忘的城市结构转化为沉浸式感知现场，引导观众进入一段关于意识、感官与现实的内在旅程</w:t>
            </w:r>
            <w:r>
              <w:rPr>
                <w:rFonts w:hint="eastAsia" w:ascii="方正仿宋_GB2312" w:hAnsi="方正仿宋_GB2312" w:eastAsia="方正仿宋_GB2312" w:cs="方正仿宋_GB2312"/>
                <w:sz w:val="18"/>
                <w:szCs w:val="18"/>
                <w:highlight w:val="none"/>
                <w:vertAlign w:val="baseline"/>
                <w:lang w:eastAsia="zh-CN"/>
              </w:rPr>
              <w:t>。</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Formate（俄罗斯）</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24000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sz w:val="18"/>
                <w:szCs w:val="18"/>
                <w:highlight w:val="none"/>
                <w:vertAlign w:val="baseline"/>
                <w:lang w:val="en-US" w:eastAsia="zh-CN"/>
              </w:rPr>
              <w:t>7</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699200" behindDoc="0" locked="0" layoutInCell="1" allowOverlap="1">
                  <wp:simplePos x="0" y="0"/>
                  <wp:positionH relativeFrom="column">
                    <wp:posOffset>0</wp:posOffset>
                  </wp:positionH>
                  <wp:positionV relativeFrom="paragraph">
                    <wp:posOffset>-1059180</wp:posOffset>
                  </wp:positionV>
                  <wp:extent cx="1398270" cy="1165225"/>
                  <wp:effectExtent l="0" t="0" r="11430" b="15875"/>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5"/>
                          <a:stretch>
                            <a:fillRect/>
                          </a:stretch>
                        </pic:blipFill>
                        <pic:spPr>
                          <a:xfrm>
                            <a:off x="0" y="0"/>
                            <a:ext cx="1398270" cy="1165225"/>
                          </a:xfrm>
                          <a:prstGeom prst="rect">
                            <a:avLst/>
                          </a:prstGeom>
                          <a:noFill/>
                          <a:ln>
                            <a:noFill/>
                          </a:ln>
                        </pic:spPr>
                      </pic:pic>
                    </a:graphicData>
                  </a:graphic>
                </wp:anchor>
              </w:drawing>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《几木园》MAPPING 作品设置在重庆儿童公园一隅的一座小巧建筑之上，以色彩与光影为画笔，将整面立面化作一部流动的“艺术发展史”。画面从最初的原始涂鸦、图腾符号出发，延展至古典绘画的结构秩序，再到现代主义的解构与重组，最终迈向数字时代的像素、代码与虚拟影像。不同历史阶段的艺术风格在建筑表面不断交替、叠加、演化，像时间被折叠进空间。作品以轻快、通透的方式，将人类艺术千年的探索浓缩为一场适合孩子与家庭共同观看的光影旅程，让艺术史变得可感、可亲，也充满想象力。</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林岭楠（中国）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8</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00224" behindDoc="0" locked="0" layoutInCell="1" allowOverlap="1">
                  <wp:simplePos x="0" y="0"/>
                  <wp:positionH relativeFrom="column">
                    <wp:posOffset>0</wp:posOffset>
                  </wp:positionH>
                  <wp:positionV relativeFrom="paragraph">
                    <wp:posOffset>-640080</wp:posOffset>
                  </wp:positionV>
                  <wp:extent cx="1402080" cy="755015"/>
                  <wp:effectExtent l="0" t="0" r="7620" b="6985"/>
                  <wp:wrapTopAndBottom/>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6"/>
                          <a:stretch>
                            <a:fillRect/>
                          </a:stretch>
                        </pic:blipFill>
                        <pic:spPr>
                          <a:xfrm>
                            <a:off x="0" y="0"/>
                            <a:ext cx="1402080" cy="755015"/>
                          </a:xfrm>
                          <a:prstGeom prst="rect">
                            <a:avLst/>
                          </a:prstGeom>
                          <a:noFill/>
                          <a:ln>
                            <a:noFill/>
                          </a:ln>
                        </pic:spPr>
                      </pic:pic>
                    </a:graphicData>
                  </a:graphic>
                </wp:anchor>
              </w:drawing>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锦上万象》以中国传统丝绸纹样为灵感，比如来自蜀锦、宋锦、侗族织锦等，将千年织造的纹理、色彩与寓意，用MAPPING的方式重新点亮。作品在重庆儿童公园的小小建筑上展开，如同一幅会呼吸的织锦从墙面慢慢铺开。华丽的团花、云纹、瑞兽、羽饰在光影中层层展开，让每个观众看到传统的浪漫，也重新遇见东方纹样的深邃与温柔。它是一块流动的“锦”，把万象之美织进夜色里。</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何嘉铭（中国）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9</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01248" behindDoc="0" locked="0" layoutInCell="1" allowOverlap="1">
                  <wp:simplePos x="0" y="0"/>
                  <wp:positionH relativeFrom="column">
                    <wp:posOffset>0</wp:posOffset>
                  </wp:positionH>
                  <wp:positionV relativeFrom="paragraph">
                    <wp:posOffset>-621030</wp:posOffset>
                  </wp:positionV>
                  <wp:extent cx="1395095" cy="725805"/>
                  <wp:effectExtent l="0" t="0" r="14605" b="17145"/>
                  <wp:wrapTopAndBottom/>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7"/>
                          <a:stretch>
                            <a:fillRect/>
                          </a:stretch>
                        </pic:blipFill>
                        <pic:spPr>
                          <a:xfrm>
                            <a:off x="0" y="0"/>
                            <a:ext cx="1395095" cy="725805"/>
                          </a:xfrm>
                          <a:prstGeom prst="rect">
                            <a:avLst/>
                          </a:prstGeom>
                          <a:noFill/>
                          <a:ln>
                            <a:noFill/>
                          </a:ln>
                        </pic:spPr>
                      </pic:pic>
                    </a:graphicData>
                  </a:graphic>
                </wp:anchor>
              </w:drawing>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滴滴答答》是一首为重庆儿童公园写的色彩序曲，把城市的节奏、儿童的想象力与时间的流动组合成一座会发光的“玩具装置”。作品以积木般的造型、跳动的色块与彩虹能量线条构成童趣世界，每一段节奏都像孩子敲出的滴答声，简单、纯粹又充满生命力。我们希望让来到公园的孩子们像进入一座巨大的梦中工厂，在光影里探索、奔跑、好奇；也让大人们重新想起，被时间遗忘的那一点点“滴滴答答”的童心。</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何琳（中国）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highlight w:val="none"/>
                <w:vertAlign w:val="baseline"/>
                <w:lang w:val="en-US" w:eastAsia="zh-CN"/>
              </w:rPr>
            </w:pP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10</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eastAsiaTheme="minorEastAsia"/>
                <w:sz w:val="18"/>
                <w:szCs w:val="18"/>
                <w:highlight w:val="none"/>
                <w:vertAlign w:val="baseline"/>
                <w:lang w:eastAsia="zh-CN"/>
              </w:rPr>
              <w:drawing>
                <wp:anchor distT="0" distB="0" distL="114300" distR="114300" simplePos="0" relativeHeight="251702272" behindDoc="0" locked="0" layoutInCell="1" allowOverlap="1">
                  <wp:simplePos x="0" y="0"/>
                  <wp:positionH relativeFrom="column">
                    <wp:posOffset>0</wp:posOffset>
                  </wp:positionH>
                  <wp:positionV relativeFrom="paragraph">
                    <wp:posOffset>-1135380</wp:posOffset>
                  </wp:positionV>
                  <wp:extent cx="1393825" cy="1238885"/>
                  <wp:effectExtent l="0" t="0" r="15875" b="18415"/>
                  <wp:wrapTopAndBottom/>
                  <wp:docPr id="39" name="图片 39" descr="L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LED MODEL"/>
                          <pic:cNvPicPr>
                            <a:picLocks noChangeAspect="1"/>
                          </pic:cNvPicPr>
                        </pic:nvPicPr>
                        <pic:blipFill>
                          <a:blip r:embed="rId18"/>
                          <a:stretch>
                            <a:fillRect/>
                          </a:stretch>
                        </pic:blipFill>
                        <pic:spPr>
                          <a:xfrm>
                            <a:off x="0" y="0"/>
                            <a:ext cx="1393825" cy="1238885"/>
                          </a:xfrm>
                          <a:prstGeom prst="rect">
                            <a:avLst/>
                          </a:prstGeom>
                        </pic:spPr>
                      </pic:pic>
                    </a:graphicData>
                  </a:graphic>
                </wp:anchor>
              </w:drawing>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这部作品以重庆独特的山地肌理与江水气象为灵感，以蒸汽朋克的工业质感重新解读城市的能量与脉动。作品将火锅、脸谱、雾气、钢铁、机械、山城坡道等在地元素融入一条狂野的视觉旅程，让传统山水意象在高压蒸汽与机械动力中焕发新生命。整体风格受到《疯狂的麦克斯》启发，带有末世张力与粗粝美学，却依然保留重庆山水的磅礴与灵魂。它既是对山城现实的再造，也是对未来山水的一次想象。</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朱俊杰（中国）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highlight w:val="none"/>
                <w:vertAlign w:val="baseline"/>
                <w:lang w:val="en-US" w:eastAsia="zh-CN"/>
              </w:rPr>
            </w:pP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11</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691008" behindDoc="1" locked="0" layoutInCell="1" allowOverlap="1">
                  <wp:simplePos x="0" y="0"/>
                  <wp:positionH relativeFrom="column">
                    <wp:posOffset>-32385</wp:posOffset>
                  </wp:positionH>
                  <wp:positionV relativeFrom="paragraph">
                    <wp:posOffset>342900</wp:posOffset>
                  </wp:positionV>
                  <wp:extent cx="1437640" cy="853440"/>
                  <wp:effectExtent l="0" t="0" r="10160" b="3810"/>
                  <wp:wrapTight wrapText="bothSides">
                    <wp:wrapPolygon>
                      <wp:start x="0" y="0"/>
                      <wp:lineTo x="0" y="21214"/>
                      <wp:lineTo x="21180" y="21214"/>
                      <wp:lineTo x="21180" y="0"/>
                      <wp:lineTo x="0" y="0"/>
                    </wp:wrapPolygon>
                  </wp:wrapTight>
                  <wp:docPr id="40" name="图片 40" descr="0e4a8652567feae527dc027797c3b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e4a8652567feae527dc027797c3b847"/>
                          <pic:cNvPicPr>
                            <a:picLocks noChangeAspect="1"/>
                          </pic:cNvPicPr>
                        </pic:nvPicPr>
                        <pic:blipFill>
                          <a:blip r:embed="rId21"/>
                          <a:stretch>
                            <a:fillRect/>
                          </a:stretch>
                        </pic:blipFill>
                        <pic:spPr>
                          <a:xfrm>
                            <a:off x="0" y="0"/>
                            <a:ext cx="1437640" cy="853440"/>
                          </a:xfrm>
                          <a:prstGeom prst="rect">
                            <a:avLst/>
                          </a:prstGeom>
                        </pic:spPr>
                      </pic:pic>
                    </a:graphicData>
                  </a:graphic>
                </wp:anchor>
              </w:drawing>
            </w:r>
            <w:r>
              <w:rPr>
                <w:rFonts w:hint="eastAsia"/>
                <w:sz w:val="18"/>
                <w:szCs w:val="18"/>
                <w:highlight w:val="none"/>
                <w:vertAlign w:val="baseline"/>
                <w:lang w:val="en-US" w:eastAsia="zh-CN"/>
              </w:rPr>
              <w:t>室外纱幕</w:t>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来到世界的第一年》以孩子的视角展开叙事。孩子眼中的世界没有边界，他们相信风会歌唱、光能呼吸、树木会低语，连尘埃也闪烁着生命的光。作品试图还原这种最纯粹的感知状态，用柔和的色彩与流动的节奏去描绘自然的脉动与生命的节律。光与影在画面中不断交织、呼吸、伸展，如同心跳的频率，带领观者进入一个既真实又梦幻的时空。每一束光都像是一种情感的触须，轻轻连接起观者与世界的温度。我们希望观众在这段光影旅程中，能暂时放下成人世界的理性，重新感受那份久违的惊奇与温柔，找回与自然、与生命、与爱之间最原初的共鸣。</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王奋（中国）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highlight w:val="none"/>
                <w:vertAlign w:val="baseline"/>
                <w:lang w:val="en-US" w:eastAsia="zh-CN"/>
              </w:rPr>
            </w:pP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12</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03296" behindDoc="0" locked="0" layoutInCell="1" allowOverlap="1">
                  <wp:simplePos x="0" y="0"/>
                  <wp:positionH relativeFrom="column">
                    <wp:posOffset>0</wp:posOffset>
                  </wp:positionH>
                  <wp:positionV relativeFrom="paragraph">
                    <wp:posOffset>-678180</wp:posOffset>
                  </wp:positionV>
                  <wp:extent cx="1327785" cy="781685"/>
                  <wp:effectExtent l="0" t="0" r="5715" b="18415"/>
                  <wp:wrapTopAndBottom/>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2"/>
                          <a:stretch>
                            <a:fillRect/>
                          </a:stretch>
                        </pic:blipFill>
                        <pic:spPr>
                          <a:xfrm>
                            <a:off x="0" y="0"/>
                            <a:ext cx="1327785" cy="781685"/>
                          </a:xfrm>
                          <a:prstGeom prst="rect">
                            <a:avLst/>
                          </a:prstGeom>
                          <a:noFill/>
                          <a:ln>
                            <a:noFill/>
                          </a:ln>
                        </pic:spPr>
                      </pic:pic>
                    </a:graphicData>
                  </a:graphic>
                </wp:anchor>
              </w:drawing>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这部作品通过多个富有层次的段落，带领观众跟随飞船前往外星球，探索一个全新的异世界文明。故事从飞船的降落开始，逐渐引导观众进入这个充满奇幻色彩的外星环境，见证了异世界的生命与文明从诞生到进化的过程。每一段动画都通过精致的设计，展现了这个文明在时间与空间中不断变化与发展的脆弱与坚韧。从海洋中的奇异生物，到冰封的严冬，再到暴风雨的肆虐，生命在困境中顽强演化。随着文明达到顶峰，生命形式逐渐蜕变，最终回归到飞船的起点，象征着一个文明的轮回。</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作品的设计理念围绕“探索与启发”展开，通过细腻的视觉表现与动感的粒子、光影效果，带领观众感知并思考外星文明的无常与美丽。通过对这个异世界文明的了解，触发了对生命、进化和存在的深刻思考，观众不禁反思人类文明与自然的关系。最终，所有的探索归于平静，飞船再次升空，留给观众的是对未知世界的敬畏与对生命短暂瞬间的珍惜。</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龙冠峰（中国）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asciiTheme="minorHAnsi" w:hAnsiTheme="minorHAnsi" w:eastAsiaTheme="minorEastAsia" w:cstheme="minorBidi"/>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13</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689984" behindDoc="0" locked="0" layoutInCell="1" allowOverlap="1">
                  <wp:simplePos x="0" y="0"/>
                  <wp:positionH relativeFrom="column">
                    <wp:posOffset>-32385</wp:posOffset>
                  </wp:positionH>
                  <wp:positionV relativeFrom="paragraph">
                    <wp:posOffset>279400</wp:posOffset>
                  </wp:positionV>
                  <wp:extent cx="1436370" cy="777875"/>
                  <wp:effectExtent l="0" t="0" r="11430" b="3175"/>
                  <wp:wrapTopAndBottom/>
                  <wp:docPr id="42" name="图片 42" descr="da9864dcb80f6eec50e5f8f3d8139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a9864dcb80f6eec50e5f8f3d81391f3"/>
                          <pic:cNvPicPr>
                            <a:picLocks noChangeAspect="1"/>
                          </pic:cNvPicPr>
                        </pic:nvPicPr>
                        <pic:blipFill>
                          <a:blip r:embed="rId23"/>
                          <a:stretch>
                            <a:fillRect/>
                          </a:stretch>
                        </pic:blipFill>
                        <pic:spPr>
                          <a:xfrm>
                            <a:off x="0" y="0"/>
                            <a:ext cx="1436370" cy="777875"/>
                          </a:xfrm>
                          <a:prstGeom prst="rect">
                            <a:avLst/>
                          </a:prstGeom>
                        </pic:spPr>
                      </pic:pic>
                    </a:graphicData>
                  </a:graphic>
                </wp:anchor>
              </w:drawing>
            </w:r>
            <w:r>
              <w:rPr>
                <w:rFonts w:hint="eastAsia"/>
                <w:sz w:val="18"/>
                <w:szCs w:val="18"/>
                <w:highlight w:val="none"/>
                <w:vertAlign w:val="baseline"/>
                <w:lang w:val="en-US" w:eastAsia="zh-CN"/>
              </w:rPr>
              <w:t>室内纱幕</w:t>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本次作品以纱幕为主要载体，画面语言极简克制，强调线条、光影与节奏的纯粹关系，呈现出具有现代感的视觉气质。影像不再承担叙事功能，而是作为一种“呼吸中的空间”，与舞蹈演员的即兴身体动作形成实时对话。舞者的每一次伸展、回旋与停顿，都会被纱幕上的光影放大、回应与延展，仿佛生命在虚实之间彼此牵引。作品试图从最本质的层面出发，探讨生命的流动、感知与存在状态，让观众在极简与留白中，重新感受身体、时间与生命本身的微妙关联。</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周强（中国）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14</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sz w:val="18"/>
                <w:szCs w:val="18"/>
                <w:highlight w:val="none"/>
                <w:vertAlign w:val="baseline"/>
                <w:lang w:val="en-US" w:eastAsia="zh-CN"/>
              </w:rPr>
            </w:pPr>
            <w:r>
              <w:rPr>
                <w:highlight w:val="none"/>
              </w:rPr>
              <w:drawing>
                <wp:anchor distT="0" distB="0" distL="114300" distR="114300" simplePos="0" relativeHeight="251704320" behindDoc="0" locked="0" layoutInCell="1" allowOverlap="1">
                  <wp:simplePos x="0" y="0"/>
                  <wp:positionH relativeFrom="column">
                    <wp:posOffset>0</wp:posOffset>
                  </wp:positionH>
                  <wp:positionV relativeFrom="paragraph">
                    <wp:posOffset>-601980</wp:posOffset>
                  </wp:positionV>
                  <wp:extent cx="1335405" cy="710565"/>
                  <wp:effectExtent l="0" t="0" r="17145" b="13335"/>
                  <wp:wrapTopAndBottom/>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24"/>
                          <a:stretch>
                            <a:fillRect/>
                          </a:stretch>
                        </pic:blipFill>
                        <pic:spPr>
                          <a:xfrm>
                            <a:off x="0" y="0"/>
                            <a:ext cx="1335405" cy="710565"/>
                          </a:xfrm>
                          <a:prstGeom prst="rect">
                            <a:avLst/>
                          </a:prstGeom>
                          <a:noFill/>
                          <a:ln>
                            <a:noFill/>
                          </a:ln>
                        </pic:spPr>
                      </pic:pic>
                    </a:graphicData>
                  </a:graphic>
                </wp:anchor>
              </w:drawing>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在数据洪流与信息共振的时代，我们所处的现实早已不止于物理世界，而是一个由信号、光线、算法交织而成的全息维度。X讯号是一组基于LED影像装置的视觉实验，它并非简单的光影投射，而是一种数字秩序与混沌意识之间的对话。</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几何结构在信号流动中构建与瓦解，空间在光的折叠中不断重塑，如同信息社会的脉搏，以碎片化的节奏运行，却始终指向某种隐形的秩序。X既是未知，也是变量，是坐标轴上的不确定点，象征着科技、智能、现实与虚拟交汇的临界状态。</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这里的光不是被动的，而是主动生长的：它在数据的驱动下生成，不断演算、变化，如同意识流动，映射着数字时代的存在方式。每个瞬间都是独立的，一个信号的跃动便足以改变全局。X讯号是超越视觉表象的实验，它质问着未来的信息矩阵：当所有信号彼此连接，我们是否仍能看见真正的自己？</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王奋（中国）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15</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692032" behindDoc="1" locked="0" layoutInCell="1" allowOverlap="1">
                  <wp:simplePos x="0" y="0"/>
                  <wp:positionH relativeFrom="column">
                    <wp:posOffset>-32385</wp:posOffset>
                  </wp:positionH>
                  <wp:positionV relativeFrom="paragraph">
                    <wp:posOffset>326390</wp:posOffset>
                  </wp:positionV>
                  <wp:extent cx="1437640" cy="853440"/>
                  <wp:effectExtent l="0" t="0" r="10160" b="3810"/>
                  <wp:wrapTight wrapText="bothSides">
                    <wp:wrapPolygon>
                      <wp:start x="0" y="0"/>
                      <wp:lineTo x="0" y="21214"/>
                      <wp:lineTo x="21180" y="21214"/>
                      <wp:lineTo x="21180" y="0"/>
                      <wp:lineTo x="0" y="0"/>
                    </wp:wrapPolygon>
                  </wp:wrapTight>
                  <wp:docPr id="44" name="图片 44" descr="0e4a8652567feae527dc027797c3b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e4a8652567feae527dc027797c3b847"/>
                          <pic:cNvPicPr>
                            <a:picLocks noChangeAspect="1"/>
                          </pic:cNvPicPr>
                        </pic:nvPicPr>
                        <pic:blipFill>
                          <a:blip r:embed="rId21"/>
                          <a:stretch>
                            <a:fillRect/>
                          </a:stretch>
                        </pic:blipFill>
                        <pic:spPr>
                          <a:xfrm>
                            <a:off x="0" y="0"/>
                            <a:ext cx="1437640" cy="853440"/>
                          </a:xfrm>
                          <a:prstGeom prst="rect">
                            <a:avLst/>
                          </a:prstGeom>
                        </pic:spPr>
                      </pic:pic>
                    </a:graphicData>
                  </a:graphic>
                </wp:anchor>
              </w:drawing>
            </w:r>
            <w:r>
              <w:rPr>
                <w:rFonts w:hint="eastAsia"/>
                <w:sz w:val="18"/>
                <w:szCs w:val="18"/>
                <w:highlight w:val="none"/>
                <w:vertAlign w:val="baseline"/>
                <w:lang w:val="en-US" w:eastAsia="zh-CN"/>
              </w:rPr>
              <w:t>室外纱幕</w:t>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作品《涟漪》构建了一个“万物皆有回响”的隐喻世界。这里的世界并非沉默的背景，而是拥有集体记忆与情感的庞大生命体，是与人类意识平行交织的另一重存在。人类与之，是持续地观察与被观察。这个世界从不被动承受，它以深不可测的智慧与耐心，对人类的一举一动做出精微的回应：每一次季候变迁、每一场生态波动，都是它无声而有力的语言。</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由此，我们试图探讨一个根源性问题，并给出我们的理解：世间没有绝对的静止，只有未被察觉的回响。从城市天际线的攀升到自然风浪的翻涌，从生命个体的悸动到文明节律的流转……波动，是万物共通的语言。这无形的纽带最终揭示：人与世界，观察者与被观察者，本就是同一张波动网络中相互映照、共同创造的共生体。</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渲艺山河（中国）</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16</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heme="minorHAnsi" w:hAnsiTheme="minorHAnsi" w:eastAsiaTheme="minorEastAsia" w:cstheme="minorBidi"/>
                <w:kern w:val="2"/>
                <w:sz w:val="18"/>
                <w:szCs w:val="18"/>
                <w:vertAlign w:val="baseline"/>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705344" behindDoc="0" locked="0" layoutInCell="1" allowOverlap="1">
                  <wp:simplePos x="0" y="0"/>
                  <wp:positionH relativeFrom="column">
                    <wp:posOffset>-35560</wp:posOffset>
                  </wp:positionH>
                  <wp:positionV relativeFrom="paragraph">
                    <wp:posOffset>193040</wp:posOffset>
                  </wp:positionV>
                  <wp:extent cx="1346200" cy="1513205"/>
                  <wp:effectExtent l="0" t="0" r="6350" b="10795"/>
                  <wp:wrapTopAndBottom/>
                  <wp:docPr id="4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IMG_256"/>
                          <pic:cNvPicPr>
                            <a:picLocks noChangeAspect="1"/>
                          </pic:cNvPicPr>
                        </pic:nvPicPr>
                        <pic:blipFill>
                          <a:blip r:embed="rId25"/>
                          <a:stretch>
                            <a:fillRect/>
                          </a:stretch>
                        </pic:blipFill>
                        <pic:spPr>
                          <a:xfrm>
                            <a:off x="0" y="0"/>
                            <a:ext cx="1346200" cy="1513205"/>
                          </a:xfrm>
                          <a:prstGeom prst="rect">
                            <a:avLst/>
                          </a:prstGeom>
                          <a:noFill/>
                          <a:ln w="9525">
                            <a:noFill/>
                          </a:ln>
                        </pic:spPr>
                      </pic:pic>
                    </a:graphicData>
                  </a:graphic>
                </wp:anchor>
              </w:drawing>
            </w:r>
            <w:r>
              <w:rPr>
                <w:rFonts w:hint="eastAsia"/>
                <w:sz w:val="18"/>
                <w:szCs w:val="18"/>
                <w:vertAlign w:val="baseline"/>
                <w:lang w:val="en-US" w:eastAsia="zh-CN"/>
              </w:rPr>
              <w:t>圆馆交互</w:t>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摄像头体感交互程序*5</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本项目由五个独立的房间构成，每个房间均呈现一个独具个性的人物造型，并搭载一套完整的可交互系统。</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五个房间，五位角色，五段截然不同的沉浸式旅程，共同构建了一个多元化的叙事体验空间。</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sz w:val="18"/>
                <w:szCs w:val="18"/>
                <w:vertAlign w:val="baseline"/>
                <w:lang w:val="en-US" w:eastAsia="zh-CN"/>
              </w:rPr>
              <w:t>裴峰（叶师父）</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17</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sz w:val="18"/>
                <w:szCs w:val="18"/>
                <w:vertAlign w:val="baseline"/>
                <w:lang w:val="en-US" w:eastAsia="zh-CN"/>
              </w:rPr>
            </w:pPr>
            <w:r>
              <w:rPr>
                <w:rFonts w:ascii="宋体" w:hAnsi="宋体" w:eastAsia="宋体" w:cs="宋体"/>
                <w:kern w:val="0"/>
                <w:sz w:val="24"/>
                <w:szCs w:val="24"/>
                <w:lang w:val="en-US" w:eastAsia="zh-CN" w:bidi="ar"/>
              </w:rPr>
              <w:drawing>
                <wp:anchor distT="0" distB="0" distL="114300" distR="114300" simplePos="0" relativeHeight="251706368" behindDoc="0" locked="0" layoutInCell="1" allowOverlap="1">
                  <wp:simplePos x="0" y="0"/>
                  <wp:positionH relativeFrom="column">
                    <wp:posOffset>-17780</wp:posOffset>
                  </wp:positionH>
                  <wp:positionV relativeFrom="paragraph">
                    <wp:posOffset>160655</wp:posOffset>
                  </wp:positionV>
                  <wp:extent cx="1334770" cy="751205"/>
                  <wp:effectExtent l="0" t="0" r="17780" b="10795"/>
                  <wp:wrapTopAndBottom/>
                  <wp:docPr id="4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descr="IMG_256"/>
                          <pic:cNvPicPr>
                            <a:picLocks noChangeAspect="1"/>
                          </pic:cNvPicPr>
                        </pic:nvPicPr>
                        <pic:blipFill>
                          <a:blip r:embed="rId26"/>
                          <a:stretch>
                            <a:fillRect/>
                          </a:stretch>
                        </pic:blipFill>
                        <pic:spPr>
                          <a:xfrm>
                            <a:off x="0" y="0"/>
                            <a:ext cx="1334770" cy="751205"/>
                          </a:xfrm>
                          <a:prstGeom prst="rect">
                            <a:avLst/>
                          </a:prstGeom>
                          <a:noFill/>
                          <a:ln w="9525">
                            <a:noFill/>
                          </a:ln>
                        </pic:spPr>
                      </pic:pic>
                    </a:graphicData>
                  </a:graphic>
                </wp:anchor>
              </w:drawing>
            </w:r>
            <w:r>
              <w:rPr>
                <w:rFonts w:hint="eastAsia"/>
                <w:sz w:val="18"/>
                <w:szCs w:val="18"/>
                <w:vertAlign w:val="baseline"/>
                <w:lang w:val="en-US" w:eastAsia="zh-CN"/>
              </w:rPr>
              <w:t>圆馆影像装置</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pPr>
          </w:p>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heme="minorHAnsi" w:hAnsiTheme="minorHAnsi" w:eastAsiaTheme="minorEastAsia" w:cstheme="minorBidi"/>
                <w:kern w:val="2"/>
                <w:sz w:val="18"/>
                <w:szCs w:val="18"/>
                <w:vertAlign w:val="baseline"/>
                <w:lang w:val="en-US" w:eastAsia="zh-CN" w:bidi="ar-SA"/>
              </w:rPr>
            </w:pP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《旷野之息》思辨设计影像装置，探讨了在算力成为稀缺资源的未来中，人类与数字生命之间的脆弱关系。</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sz w:val="18"/>
                <w:szCs w:val="18"/>
                <w:vertAlign w:val="baseline"/>
                <w:lang w:val="en-US" w:eastAsia="zh-CN"/>
              </w:rPr>
              <w:t>黄炜</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18</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eastAsiaTheme="minorEastAsia"/>
                <w:sz w:val="18"/>
                <w:szCs w:val="18"/>
                <w:vertAlign w:val="baseline"/>
                <w:lang w:eastAsia="zh-CN"/>
              </w:rPr>
              <w:drawing>
                <wp:anchor distT="0" distB="0" distL="114300" distR="114300" simplePos="0" relativeHeight="251707392" behindDoc="0" locked="0" layoutInCell="1" allowOverlap="1">
                  <wp:simplePos x="0" y="0"/>
                  <wp:positionH relativeFrom="column">
                    <wp:posOffset>0</wp:posOffset>
                  </wp:positionH>
                  <wp:positionV relativeFrom="paragraph">
                    <wp:posOffset>-1135380</wp:posOffset>
                  </wp:positionV>
                  <wp:extent cx="1393825" cy="1238885"/>
                  <wp:effectExtent l="0" t="0" r="15875" b="18415"/>
                  <wp:wrapTopAndBottom/>
                  <wp:docPr id="47" name="图片 47" descr="L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LED MODEL"/>
                          <pic:cNvPicPr>
                            <a:picLocks noChangeAspect="1"/>
                          </pic:cNvPicPr>
                        </pic:nvPicPr>
                        <pic:blipFill>
                          <a:blip r:embed="rId18"/>
                          <a:stretch>
                            <a:fillRect/>
                          </a:stretch>
                        </pic:blipFill>
                        <pic:spPr>
                          <a:xfrm>
                            <a:off x="0" y="0"/>
                            <a:ext cx="1393825" cy="1238885"/>
                          </a:xfrm>
                          <a:prstGeom prst="rect">
                            <a:avLst/>
                          </a:prstGeom>
                        </pic:spPr>
                      </pic:pic>
                    </a:graphicData>
                  </a:graphic>
                </wp:anchor>
              </w:drawing>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核心概念： 剥离色彩，以极简的黑白几何图形，展现纯粹的数字节奏与建筑韵律。</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视觉描述： 作品仅使用黑、白、灰三种色调。基础几何图形（方块、线条、圆点）如同跳动的音符，跟随音乐的节拍进行精准而富有张力的位移、缩放、闪烁与重复。强烈的对比度创造出清晰的视觉焦点与深邃的空间层次。图形运动轨迹干净利落，形成一种类似机械精密舞步或数据可视化的冷静美感，在秩序中迸发出内在的活力。</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李洲洲</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19</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vertAlign w:val="baseline"/>
                <w:lang w:val="en-US" w:eastAsia="zh-CN" w:bidi="ar-SA"/>
              </w:rPr>
            </w:pPr>
            <w:r>
              <w:rPr>
                <w:sz w:val="18"/>
                <w:szCs w:val="18"/>
              </w:rPr>
              <w:drawing>
                <wp:anchor distT="0" distB="0" distL="114300" distR="114300" simplePos="0" relativeHeight="251708416" behindDoc="0" locked="0" layoutInCell="1" allowOverlap="1">
                  <wp:simplePos x="0" y="0"/>
                  <wp:positionH relativeFrom="column">
                    <wp:posOffset>0</wp:posOffset>
                  </wp:positionH>
                  <wp:positionV relativeFrom="paragraph">
                    <wp:posOffset>-621030</wp:posOffset>
                  </wp:positionV>
                  <wp:extent cx="1395095" cy="725805"/>
                  <wp:effectExtent l="0" t="0" r="14605" b="17145"/>
                  <wp:wrapTopAndBottom/>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17"/>
                          <a:stretch>
                            <a:fillRect/>
                          </a:stretch>
                        </pic:blipFill>
                        <pic:spPr>
                          <a:xfrm>
                            <a:off x="0" y="0"/>
                            <a:ext cx="1395095" cy="725805"/>
                          </a:xfrm>
                          <a:prstGeom prst="rect">
                            <a:avLst/>
                          </a:prstGeom>
                          <a:noFill/>
                          <a:ln>
                            <a:noFill/>
                          </a:ln>
                        </pic:spPr>
                      </pic:pic>
                    </a:graphicData>
                  </a:graphic>
                </wp:anchor>
              </w:drawing>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核心概念： 将儿童公园的门头字母转化为抽象线条流动的载体。</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视觉描述： 作品以公园色彩明快的门头字母为画布，冷色调的抽象线条如光之溪流，从字母边缘生长、缠绕、流淌。线条的运动充满童真般的随机与灵动，时而汇聚成闪烁的星点，时而如柔滑的丝带滑过字母表面。坚硬的字母结构因内部流动的能量而被“软化”，产生一种理性结构与感性流动共舞的奇妙视觉。</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周杨小晓</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20</w:t>
            </w:r>
          </w:p>
        </w:tc>
        <w:tc>
          <w:tcPr>
            <w:tcW w:w="923"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pPr>
            <w:r>
              <w:rPr>
                <w:rFonts w:ascii="宋体" w:hAnsi="宋体" w:eastAsia="宋体" w:cs="宋体"/>
                <w:kern w:val="0"/>
                <w:sz w:val="24"/>
                <w:szCs w:val="24"/>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-887730</wp:posOffset>
                  </wp:positionV>
                  <wp:extent cx="1333500" cy="999490"/>
                  <wp:effectExtent l="0" t="0" r="0" b="10160"/>
                  <wp:wrapTopAndBottom/>
                  <wp:docPr id="4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IMG_256"/>
                          <pic:cNvPicPr>
                            <a:picLocks noChangeAspect="1"/>
                          </pic:cNvPicPr>
                        </pic:nvPicPr>
                        <pic:blipFill>
                          <a:blip r:embed="rId27"/>
                          <a:stretch>
                            <a:fillRect/>
                          </a:stretch>
                        </pic:blipFill>
                        <pic:spPr>
                          <a:xfrm>
                            <a:off x="0" y="0"/>
                            <a:ext cx="1333500" cy="999490"/>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lang w:val="en-US" w:eastAsia="zh-CN" w:bidi="ar-SA"/>
              </w:rPr>
            </w:pP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核心概念： 用数万颗动态彩色波点，模拟一场无限绽放的数码繁花盛宴。</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视觉描述： 作品脱离具体形态，以高饱和度的鲜艳波点作为基本像素。无数波点以呼吸般的节奏不断聚合、扩散、旋转，时而形成巨大的花朵轮廓瞬间怒放，时而分解为绚烂的星云漩涡。色彩在红、紫、蓝、粉之间梦幻渐变，波点间重叠、透叠产生的视觉混合，让整体画面充满旺盛的生命力与欢乐的庆典感。</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体验联想： 如同坠入一个万花筒般的童话梦境，或目睹一场由纯粹色彩与节奏构成的、永不停歇的春日花园狂欢。</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丁为</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21</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10464" behindDoc="0" locked="0" layoutInCell="1" allowOverlap="1">
                  <wp:simplePos x="0" y="0"/>
                  <wp:positionH relativeFrom="column">
                    <wp:posOffset>0</wp:posOffset>
                  </wp:positionH>
                  <wp:positionV relativeFrom="paragraph">
                    <wp:posOffset>-1059180</wp:posOffset>
                  </wp:positionV>
                  <wp:extent cx="1398270" cy="1165225"/>
                  <wp:effectExtent l="0" t="0" r="11430" b="15875"/>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5"/>
                          <a:stretch>
                            <a:fillRect/>
                          </a:stretch>
                        </pic:blipFill>
                        <pic:spPr>
                          <a:xfrm>
                            <a:off x="0" y="0"/>
                            <a:ext cx="1398270" cy="1165225"/>
                          </a:xfrm>
                          <a:prstGeom prst="rect">
                            <a:avLst/>
                          </a:prstGeom>
                          <a:noFill/>
                          <a:ln>
                            <a:noFill/>
                          </a:ln>
                        </pic:spPr>
                      </pic:pic>
                    </a:graphicData>
                  </a:graphic>
                </wp:anchor>
              </w:drawing>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《几木园》MAPPING 作品设置在重庆儿童公园一隅的一座小巧建筑之上，以色彩与光影为画笔，将整面立面化作一部流动的“艺术发展史”。画面从最初的原始涂鸦、图腾符号出发，延展至古典绘画的结构秩序，再到现代主义的解构与重组，最终迈向数字时代的像素、代码与虚拟影像。不同历史阶段的艺术风格在建筑表面不断交替、叠加、演化，像时间被折叠进空间。作品以轻快、通透的方式，将人类艺术千年的探索浓缩为一场适合孩子与家庭共同观看的光影旅程，让艺术史变得可感、可亲，也充满想象力。</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ascii="Calibri" w:hAnsi="Calibri" w:eastAsia="方正仿宋_GBK" w:cs="Times New Roman"/>
                <w:kern w:val="2"/>
                <w:sz w:val="18"/>
                <w:szCs w:val="18"/>
                <w:highlight w:val="none"/>
                <w:vertAlign w:val="baseline"/>
                <w:lang w:val="en-US" w:eastAsia="zh-CN" w:bidi="ar-SA"/>
              </w:rPr>
              <w:t>刘子豪</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sz w:val="18"/>
                <w:szCs w:val="18"/>
                <w:highlight w:val="none"/>
                <w:vertAlign w:val="baseline"/>
                <w:lang w:val="en-US" w:eastAsia="zh-CN"/>
              </w:rPr>
              <w:t>22</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11488" behindDoc="0" locked="0" layoutInCell="1" allowOverlap="1">
                  <wp:simplePos x="0" y="0"/>
                  <wp:positionH relativeFrom="column">
                    <wp:posOffset>0</wp:posOffset>
                  </wp:positionH>
                  <wp:positionV relativeFrom="paragraph">
                    <wp:posOffset>-640080</wp:posOffset>
                  </wp:positionV>
                  <wp:extent cx="1402080" cy="755015"/>
                  <wp:effectExtent l="0" t="0" r="7620" b="6985"/>
                  <wp:wrapTopAndBottom/>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6"/>
                          <a:stretch>
                            <a:fillRect/>
                          </a:stretch>
                        </pic:blipFill>
                        <pic:spPr>
                          <a:xfrm>
                            <a:off x="0" y="0"/>
                            <a:ext cx="1402080" cy="755015"/>
                          </a:xfrm>
                          <a:prstGeom prst="rect">
                            <a:avLst/>
                          </a:prstGeom>
                          <a:noFill/>
                          <a:ln>
                            <a:noFill/>
                          </a:ln>
                        </pic:spPr>
                      </pic:pic>
                    </a:graphicData>
                  </a:graphic>
                </wp:anchor>
              </w:drawing>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锦上万象》以中国传统丝绸纹样为灵感，比如来自蜀锦、宋锦、侗族织锦等，将千年织造的纹理、色彩与寓意，用MAPPING的方式重新点亮。作品在重庆儿童公园的小小建筑上展开，如同一幅会呼吸的织锦从墙面慢慢铺开。华丽的团花、云纹、瑞兽、羽饰在光影中层层展开，让每个观众看到传统的浪漫，也重新遇见东方纹样的深邃与温柔。它是一块流动的“锦”，把万象之美织进夜色里。</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ascii="Calibri" w:hAnsi="Calibri" w:eastAsia="方正仿宋_GBK" w:cs="Times New Roman"/>
                <w:kern w:val="2"/>
                <w:sz w:val="18"/>
                <w:szCs w:val="18"/>
                <w:highlight w:val="none"/>
                <w:vertAlign w:val="baseline"/>
                <w:lang w:val="en-US" w:eastAsia="zh-CN" w:bidi="ar-SA"/>
              </w:rPr>
              <w:t>徐晗</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23</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688960" behindDoc="0" locked="0" layoutInCell="1" allowOverlap="1">
                  <wp:simplePos x="0" y="0"/>
                  <wp:positionH relativeFrom="column">
                    <wp:posOffset>-25400</wp:posOffset>
                  </wp:positionH>
                  <wp:positionV relativeFrom="paragraph">
                    <wp:posOffset>260350</wp:posOffset>
                  </wp:positionV>
                  <wp:extent cx="1436370" cy="777875"/>
                  <wp:effectExtent l="0" t="0" r="11430" b="3175"/>
                  <wp:wrapSquare wrapText="bothSides"/>
                  <wp:docPr id="52" name="图片 52" descr="da9864dcb80f6eec50e5f8f3d8139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a9864dcb80f6eec50e5f8f3d81391f3"/>
                          <pic:cNvPicPr>
                            <a:picLocks noChangeAspect="1"/>
                          </pic:cNvPicPr>
                        </pic:nvPicPr>
                        <pic:blipFill>
                          <a:blip r:embed="rId23"/>
                          <a:stretch>
                            <a:fillRect/>
                          </a:stretch>
                        </pic:blipFill>
                        <pic:spPr>
                          <a:xfrm>
                            <a:off x="0" y="0"/>
                            <a:ext cx="1436370" cy="777875"/>
                          </a:xfrm>
                          <a:prstGeom prst="rect">
                            <a:avLst/>
                          </a:prstGeom>
                        </pic:spPr>
                      </pic:pic>
                    </a:graphicData>
                  </a:graphic>
                </wp:anchor>
              </w:drawing>
            </w:r>
            <w:r>
              <w:rPr>
                <w:rFonts w:hint="eastAsia"/>
                <w:sz w:val="18"/>
                <w:szCs w:val="18"/>
                <w:highlight w:val="none"/>
                <w:vertAlign w:val="baseline"/>
                <w:lang w:val="en-US" w:eastAsia="zh-CN"/>
              </w:rPr>
              <w:t>室内纱幕</w:t>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本次作品以纱幕为主要载体，画面语言极简克制，强调线条、光影与节奏的纯粹关系，呈现出具有现代感的视觉气质。影像不再承担叙事功能，而是作为一种“呼吸中的空间”，与舞蹈演员的即兴身体动作形成实时对话。舞者的每一次伸展、回旋与停顿，都会被纱幕上的光影放大、回应与延展，仿佛生命在虚实之间彼此牵引。作品试图从最本质的层面出发，探讨生命的流动、感知与存在状态，让观众在极简与留白中，重新感受身体、时间与生命本身的微妙关联。</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孟子然</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24</w:t>
            </w:r>
          </w:p>
        </w:tc>
        <w:tc>
          <w:tcPr>
            <w:tcW w:w="92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687936" behindDoc="1" locked="0" layoutInCell="1" allowOverlap="1">
                  <wp:simplePos x="0" y="0"/>
                  <wp:positionH relativeFrom="column">
                    <wp:posOffset>-22225</wp:posOffset>
                  </wp:positionH>
                  <wp:positionV relativeFrom="paragraph">
                    <wp:posOffset>254000</wp:posOffset>
                  </wp:positionV>
                  <wp:extent cx="1437640" cy="853440"/>
                  <wp:effectExtent l="0" t="0" r="10160" b="3810"/>
                  <wp:wrapTight wrapText="bothSides">
                    <wp:wrapPolygon>
                      <wp:start x="0" y="0"/>
                      <wp:lineTo x="0" y="21214"/>
                      <wp:lineTo x="21180" y="21214"/>
                      <wp:lineTo x="21180" y="0"/>
                      <wp:lineTo x="0" y="0"/>
                    </wp:wrapPolygon>
                  </wp:wrapTight>
                  <wp:docPr id="53" name="图片 53" descr="0e4a8652567feae527dc027797c3b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e4a8652567feae527dc027797c3b847"/>
                          <pic:cNvPicPr>
                            <a:picLocks noChangeAspect="1"/>
                          </pic:cNvPicPr>
                        </pic:nvPicPr>
                        <pic:blipFill>
                          <a:blip r:embed="rId21"/>
                          <a:stretch>
                            <a:fillRect/>
                          </a:stretch>
                        </pic:blipFill>
                        <pic:spPr>
                          <a:xfrm>
                            <a:off x="0" y="0"/>
                            <a:ext cx="1437640" cy="853440"/>
                          </a:xfrm>
                          <a:prstGeom prst="rect">
                            <a:avLst/>
                          </a:prstGeom>
                        </pic:spPr>
                      </pic:pic>
                    </a:graphicData>
                  </a:graphic>
                </wp:anchor>
              </w:drawing>
            </w:r>
            <w:r>
              <w:rPr>
                <w:rFonts w:hint="eastAsia"/>
                <w:sz w:val="18"/>
                <w:szCs w:val="18"/>
                <w:highlight w:val="none"/>
                <w:vertAlign w:val="baseline"/>
                <w:lang w:val="en-US" w:eastAsia="zh-CN"/>
              </w:rPr>
              <w:t>室外纱幕</w:t>
            </w:r>
          </w:p>
        </w:tc>
        <w:tc>
          <w:tcPr>
            <w:tcW w:w="240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来到世界的第一年》以孩子的视角展开叙事。孩子眼中的世界没有边界，他们相信风会歌唱、光能呼吸、树木会低语，连尘埃也闪烁着生命的光。作品试图还原这种最纯粹的感知状态，用柔和的色彩与流动的节奏去描绘自然的脉动与生命的节律。光与影在画面中不断交织、呼吸、伸展，如同心跳的频率，带领观者进入一个既真实又梦幻的时空。每一束光都像是一种情感的触须，轻轻连接起观者与世界的温度。我们希望观众在这段光影旅程中，能暂时放下成人世界的理性，重新感受那份久违的惊奇与温柔，找回与自然、与生命、与爱之间最原初的共鸣。</w:t>
            </w:r>
          </w:p>
        </w:tc>
        <w:tc>
          <w:tcPr>
            <w:tcW w:w="65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赵瑜佳</w:t>
            </w:r>
          </w:p>
        </w:tc>
        <w:tc>
          <w:tcPr>
            <w:tcW w:w="502"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cstheme="minorBidi"/>
                <w:kern w:val="2"/>
                <w:sz w:val="18"/>
                <w:szCs w:val="18"/>
                <w:highlight w:val="none"/>
                <w:vertAlign w:val="baseline"/>
                <w:lang w:val="en-US" w:eastAsia="zh-CN" w:bidi="ar-SA"/>
              </w:rPr>
            </w:pPr>
          </w:p>
        </w:tc>
        <w:tc>
          <w:tcPr>
            <w:tcW w:w="3984" w:type="pct"/>
            <w:gridSpan w:val="3"/>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共计：</w:t>
            </w:r>
          </w:p>
        </w:tc>
        <w:tc>
          <w:tcPr>
            <w:tcW w:w="502"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400000</w:t>
            </w:r>
          </w:p>
        </w:tc>
        <w:tc>
          <w:tcPr>
            <w:tcW w:w="31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000" w:type="pct"/>
            <w:gridSpan w:val="6"/>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b w:val="0"/>
                <w:bCs w:val="0"/>
                <w:color w:val="000000"/>
                <w:kern w:val="2"/>
                <w:sz w:val="21"/>
                <w:szCs w:val="21"/>
                <w:lang w:val="en-US" w:eastAsia="zh-CN" w:bidi="ar-SA"/>
              </w:rPr>
            </w:pPr>
          </w:p>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光影作品内容邀约补偿按照固定综合单价包干据实结算</w:t>
            </w:r>
          </w:p>
        </w:tc>
      </w:tr>
    </w:tbl>
    <w:p>
      <w:pPr>
        <w:spacing w:line="360" w:lineRule="auto"/>
        <w:ind w:firstLine="413" w:firstLineChars="196"/>
        <w:rPr>
          <w:b/>
          <w:color w:val="000000"/>
          <w:szCs w:val="21"/>
        </w:rPr>
      </w:pPr>
      <w:r>
        <w:rPr>
          <w:rFonts w:hint="eastAsia"/>
          <w:b/>
          <w:color w:val="000000"/>
          <w:szCs w:val="21"/>
        </w:rPr>
        <w:t xml:space="preserve">（二）付款方式： </w:t>
      </w:r>
    </w:p>
    <w:p>
      <w:pPr>
        <w:spacing w:line="360" w:lineRule="auto"/>
        <w:ind w:firstLine="411" w:firstLineChars="196"/>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1、策划编制内容完成并经</w:t>
      </w:r>
      <w:r>
        <w:rPr>
          <w:rFonts w:hint="eastAsia" w:cs="Times New Roman"/>
          <w:color w:val="000000"/>
          <w:szCs w:val="21"/>
          <w:lang w:val="en-US" w:eastAsia="zh-CN"/>
        </w:rPr>
        <w:t>甲方书面</w:t>
      </w:r>
      <w:r>
        <w:rPr>
          <w:rFonts w:hint="eastAsia" w:ascii="Times New Roman" w:hAnsi="Times New Roman" w:eastAsia="宋体" w:cs="Times New Roman"/>
          <w:color w:val="000000"/>
          <w:szCs w:val="21"/>
          <w:lang w:val="en-US" w:eastAsia="zh-CN"/>
        </w:rPr>
        <w:t>验收同意并提供相应成果后，5个工作日内</w:t>
      </w:r>
      <w:r>
        <w:rPr>
          <w:rFonts w:hint="eastAsia" w:cs="Times New Roman"/>
          <w:color w:val="000000"/>
          <w:szCs w:val="21"/>
          <w:lang w:val="en-US" w:eastAsia="zh-CN"/>
        </w:rPr>
        <w:t>甲方</w:t>
      </w:r>
      <w:r>
        <w:rPr>
          <w:rFonts w:hint="eastAsia" w:ascii="Times New Roman" w:hAnsi="Times New Roman" w:eastAsia="宋体" w:cs="Times New Roman"/>
          <w:color w:val="000000"/>
          <w:szCs w:val="21"/>
          <w:lang w:val="en-US" w:eastAsia="zh-CN"/>
        </w:rPr>
        <w:t>支付给</w:t>
      </w:r>
      <w:r>
        <w:rPr>
          <w:rFonts w:hint="eastAsia" w:cs="Times New Roman"/>
          <w:color w:val="000000"/>
          <w:szCs w:val="21"/>
          <w:lang w:val="en-US" w:eastAsia="zh-CN"/>
        </w:rPr>
        <w:t>乙方</w:t>
      </w:r>
      <w:r>
        <w:rPr>
          <w:rFonts w:hint="eastAsia" w:ascii="Times New Roman" w:hAnsi="Times New Roman" w:eastAsia="宋体" w:cs="Times New Roman"/>
          <w:color w:val="000000"/>
          <w:szCs w:val="21"/>
          <w:lang w:val="en-US" w:eastAsia="zh-CN"/>
        </w:rPr>
        <w:t>对应的策划编制费用。</w:t>
      </w:r>
    </w:p>
    <w:p>
      <w:pPr>
        <w:spacing w:line="360" w:lineRule="auto"/>
        <w:ind w:firstLine="411" w:firstLineChars="196"/>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2、光影作品内容邀约完成，作品呈现效果经</w:t>
      </w:r>
      <w:r>
        <w:rPr>
          <w:rFonts w:hint="eastAsia" w:cs="Times New Roman"/>
          <w:color w:val="000000"/>
          <w:szCs w:val="21"/>
          <w:lang w:val="en-US" w:eastAsia="zh-CN"/>
        </w:rPr>
        <w:t>甲方书面</w:t>
      </w:r>
      <w:r>
        <w:rPr>
          <w:rFonts w:hint="eastAsia" w:ascii="Times New Roman" w:hAnsi="Times New Roman" w:eastAsia="宋体" w:cs="Times New Roman"/>
          <w:color w:val="000000"/>
          <w:szCs w:val="21"/>
          <w:lang w:val="en-US" w:eastAsia="zh-CN"/>
        </w:rPr>
        <w:t>验收同意并获得永久使用权的源文件后，5个工作日内</w:t>
      </w:r>
      <w:r>
        <w:rPr>
          <w:rFonts w:hint="eastAsia" w:cs="Times New Roman"/>
          <w:color w:val="000000"/>
          <w:szCs w:val="21"/>
          <w:lang w:val="en-US" w:eastAsia="zh-CN"/>
        </w:rPr>
        <w:t>甲方</w:t>
      </w:r>
      <w:r>
        <w:rPr>
          <w:rFonts w:hint="eastAsia" w:ascii="Times New Roman" w:hAnsi="Times New Roman" w:eastAsia="宋体" w:cs="Times New Roman"/>
          <w:color w:val="000000"/>
          <w:szCs w:val="21"/>
          <w:lang w:val="en-US" w:eastAsia="zh-CN"/>
        </w:rPr>
        <w:t>支付给</w:t>
      </w:r>
      <w:r>
        <w:rPr>
          <w:rFonts w:hint="eastAsia" w:cs="Times New Roman"/>
          <w:color w:val="000000"/>
          <w:szCs w:val="21"/>
          <w:lang w:val="en-US" w:eastAsia="zh-CN"/>
        </w:rPr>
        <w:t>乙方</w:t>
      </w:r>
      <w:r>
        <w:rPr>
          <w:rFonts w:hint="eastAsia" w:ascii="Times New Roman" w:hAnsi="Times New Roman" w:eastAsia="宋体" w:cs="Times New Roman"/>
          <w:color w:val="000000"/>
          <w:szCs w:val="21"/>
          <w:lang w:val="en-US" w:eastAsia="zh-CN"/>
        </w:rPr>
        <w:t>相应作品的补偿费用。</w:t>
      </w:r>
      <w:r>
        <w:rPr>
          <w:rFonts w:hint="eastAsia" w:cs="Times New Roman"/>
          <w:color w:val="000000"/>
          <w:szCs w:val="21"/>
          <w:lang w:val="en-US" w:eastAsia="zh-CN"/>
        </w:rPr>
        <w:t>乙方</w:t>
      </w:r>
      <w:r>
        <w:rPr>
          <w:rFonts w:hint="eastAsia" w:ascii="Times New Roman" w:hAnsi="Times New Roman" w:eastAsia="宋体" w:cs="Times New Roman"/>
          <w:color w:val="000000"/>
          <w:szCs w:val="21"/>
          <w:lang w:val="en-US" w:eastAsia="zh-CN"/>
        </w:rPr>
        <w:t>收款后需提供支付给作品应邀人的支付凭证给</w:t>
      </w:r>
      <w:r>
        <w:rPr>
          <w:rFonts w:hint="eastAsia" w:cs="Times New Roman"/>
          <w:color w:val="000000"/>
          <w:szCs w:val="21"/>
          <w:lang w:val="en-US" w:eastAsia="zh-CN"/>
        </w:rPr>
        <w:t>甲方</w:t>
      </w:r>
      <w:r>
        <w:rPr>
          <w:rFonts w:hint="eastAsia" w:ascii="Times New Roman" w:hAnsi="Times New Roman" w:eastAsia="宋体" w:cs="Times New Roman"/>
          <w:color w:val="000000"/>
          <w:szCs w:val="21"/>
          <w:lang w:val="en-US" w:eastAsia="zh-CN"/>
        </w:rPr>
        <w:t>备案，否则</w:t>
      </w:r>
      <w:r>
        <w:rPr>
          <w:rFonts w:hint="eastAsia" w:cs="Times New Roman"/>
          <w:color w:val="000000"/>
          <w:szCs w:val="21"/>
          <w:lang w:val="en-US" w:eastAsia="zh-CN"/>
        </w:rPr>
        <w:t>甲方</w:t>
      </w:r>
      <w:r>
        <w:rPr>
          <w:rFonts w:hint="eastAsia" w:ascii="Times New Roman" w:hAnsi="Times New Roman" w:eastAsia="宋体" w:cs="Times New Roman"/>
          <w:color w:val="000000"/>
          <w:szCs w:val="21"/>
          <w:lang w:val="en-US" w:eastAsia="zh-CN"/>
        </w:rPr>
        <w:t>有权追回已支付的补偿费用。</w:t>
      </w:r>
    </w:p>
    <w:p>
      <w:pPr>
        <w:spacing w:line="360" w:lineRule="auto"/>
        <w:ind w:firstLine="411" w:firstLineChars="196"/>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w:t>
      </w:r>
      <w:r>
        <w:rPr>
          <w:rFonts w:hint="eastAsia" w:cs="Times New Roman"/>
          <w:color w:val="000000"/>
          <w:szCs w:val="21"/>
          <w:lang w:val="en-US" w:eastAsia="zh-CN"/>
        </w:rPr>
        <w:t>甲方</w:t>
      </w:r>
      <w:r>
        <w:rPr>
          <w:rFonts w:hint="eastAsia" w:ascii="Times New Roman" w:hAnsi="Times New Roman" w:eastAsia="宋体" w:cs="Times New Roman"/>
          <w:color w:val="000000"/>
          <w:szCs w:val="21"/>
          <w:lang w:val="en-US" w:eastAsia="zh-CN"/>
        </w:rPr>
        <w:t>付款前，</w:t>
      </w:r>
      <w:r>
        <w:rPr>
          <w:rFonts w:hint="eastAsia" w:cs="Times New Roman"/>
          <w:color w:val="000000"/>
          <w:szCs w:val="21"/>
          <w:lang w:val="en-US" w:eastAsia="zh-CN"/>
        </w:rPr>
        <w:t>乙方</w:t>
      </w:r>
      <w:r>
        <w:rPr>
          <w:rFonts w:hint="eastAsia" w:ascii="Times New Roman" w:hAnsi="Times New Roman" w:eastAsia="宋体" w:cs="Times New Roman"/>
          <w:color w:val="000000"/>
          <w:szCs w:val="21"/>
          <w:lang w:val="en-US" w:eastAsia="zh-CN"/>
        </w:rPr>
        <w:t>应向</w:t>
      </w:r>
      <w:r>
        <w:rPr>
          <w:rFonts w:hint="eastAsia" w:cs="Times New Roman"/>
          <w:color w:val="000000"/>
          <w:szCs w:val="21"/>
          <w:lang w:val="en-US" w:eastAsia="zh-CN"/>
        </w:rPr>
        <w:t>甲方</w:t>
      </w:r>
      <w:r>
        <w:rPr>
          <w:rFonts w:hint="eastAsia" w:ascii="Times New Roman" w:hAnsi="Times New Roman" w:eastAsia="宋体" w:cs="Times New Roman"/>
          <w:color w:val="000000"/>
          <w:szCs w:val="21"/>
          <w:lang w:val="en-US" w:eastAsia="zh-CN"/>
        </w:rPr>
        <w:t>提供与付款金额相对应增值税专用发票，甲方未收到乙方开具的合法有效足额的增值税专用发票，或乙方开具的发票不符合甲方的要求的，甲方有权暂缓支付相应款项，并且不承担任何违约责任。</w:t>
      </w:r>
    </w:p>
    <w:p>
      <w:pPr>
        <w:spacing w:line="360" w:lineRule="auto"/>
        <w:ind w:firstLine="411" w:firstLineChars="196"/>
        <w:rPr>
          <w:rFonts w:hint="eastAsia" w:ascii="宋体" w:hAnsi="宋体" w:cs="宋体"/>
          <w:szCs w:val="21"/>
          <w:lang w:val="en-US" w:eastAsia="zh-CN"/>
        </w:rPr>
      </w:pPr>
      <w:r>
        <w:rPr>
          <w:rFonts w:hint="eastAsia" w:ascii="Times New Roman" w:hAnsi="Times New Roman" w:eastAsia="宋体" w:cs="Times New Roman"/>
          <w:color w:val="000000"/>
          <w:szCs w:val="21"/>
          <w:lang w:val="en-US" w:eastAsia="zh-CN"/>
        </w:rPr>
        <w:t>甲方开票信息如下：</w:t>
      </w:r>
    </w:p>
    <w:p>
      <w:pPr>
        <w:pStyle w:val="2"/>
        <w:rPr>
          <w:rFonts w:hint="eastAsia"/>
          <w:lang w:val="en-US" w:eastAsia="zh-CN"/>
        </w:rPr>
      </w:pPr>
      <w:r>
        <w:rPr>
          <w:rFonts w:hint="eastAsia"/>
          <w:lang w:val="en-US" w:eastAsia="zh-CN"/>
        </w:rPr>
        <w:t>名称：重庆山水城文化旅游发展有限公司</w:t>
      </w:r>
    </w:p>
    <w:p>
      <w:pPr>
        <w:ind w:firstLine="420" w:firstLineChars="200"/>
        <w:rPr>
          <w:rFonts w:hint="eastAsia"/>
          <w:lang w:val="en-US" w:eastAsia="zh-CN"/>
        </w:rPr>
      </w:pPr>
      <w:r>
        <w:rPr>
          <w:rFonts w:hint="eastAsia"/>
          <w:lang w:val="en-US" w:eastAsia="zh-CN"/>
        </w:rPr>
        <w:t>税号：91500103MA60M7A6XU</w:t>
      </w:r>
    </w:p>
    <w:p>
      <w:pPr>
        <w:pStyle w:val="2"/>
        <w:rPr>
          <w:rFonts w:hint="eastAsia"/>
          <w:lang w:val="en-US" w:eastAsia="zh-CN"/>
        </w:rPr>
      </w:pPr>
      <w:r>
        <w:rPr>
          <w:rFonts w:hint="eastAsia"/>
          <w:lang w:val="en-US" w:eastAsia="zh-CN"/>
        </w:rPr>
        <w:t>单位地址：重庆市渝中区民生路283号8-A</w:t>
      </w:r>
    </w:p>
    <w:p>
      <w:pPr>
        <w:ind w:firstLine="420" w:firstLineChars="200"/>
        <w:rPr>
          <w:rFonts w:hint="eastAsia"/>
          <w:lang w:val="en-US" w:eastAsia="zh-CN"/>
        </w:rPr>
      </w:pPr>
      <w:r>
        <w:rPr>
          <w:rFonts w:hint="eastAsia"/>
          <w:lang w:val="en-US" w:eastAsia="zh-CN"/>
        </w:rPr>
        <w:t>电话号码：023-67602776</w:t>
      </w:r>
    </w:p>
    <w:p>
      <w:pPr>
        <w:pStyle w:val="2"/>
        <w:rPr>
          <w:rFonts w:hint="eastAsia"/>
          <w:lang w:val="en-US" w:eastAsia="zh-CN"/>
        </w:rPr>
      </w:pPr>
      <w:r>
        <w:rPr>
          <w:rFonts w:hint="eastAsia"/>
          <w:lang w:val="en-US" w:eastAsia="zh-CN"/>
        </w:rPr>
        <w:t>开户银行：重庆三峡银行渝中支行</w:t>
      </w:r>
    </w:p>
    <w:p>
      <w:pPr>
        <w:ind w:firstLine="420" w:firstLineChars="200"/>
        <w:rPr>
          <w:rFonts w:hint="default"/>
          <w:lang w:val="en-US" w:eastAsia="zh-CN"/>
        </w:rPr>
      </w:pPr>
      <w:r>
        <w:rPr>
          <w:rFonts w:hint="eastAsia"/>
          <w:lang w:val="en-US" w:eastAsia="zh-CN"/>
        </w:rPr>
        <w:t>银行账户：0101014210023878</w:t>
      </w:r>
    </w:p>
    <w:p>
      <w:pPr>
        <w:autoSpaceDE w:val="0"/>
        <w:autoSpaceDN w:val="0"/>
        <w:spacing w:line="360" w:lineRule="auto"/>
        <w:ind w:firstLine="420" w:firstLineChars="200"/>
        <w:rPr>
          <w:rFonts w:ascii="宋体" w:hAnsi="宋体" w:cs="宋体"/>
          <w:szCs w:val="21"/>
          <w:lang w:val="zh-CN"/>
        </w:rPr>
      </w:pPr>
      <w:r>
        <w:rPr>
          <w:rFonts w:hint="eastAsia" w:ascii="宋体" w:hAnsi="宋体" w:cs="宋体"/>
          <w:szCs w:val="21"/>
          <w:lang w:val="zh-CN"/>
        </w:rPr>
        <w:t>乙方银行帐号信息如下：</w:t>
      </w:r>
    </w:p>
    <w:p>
      <w:pPr>
        <w:spacing w:line="360" w:lineRule="auto"/>
        <w:ind w:left="1" w:firstLine="420" w:firstLineChars="200"/>
        <w:rPr>
          <w:rFonts w:hint="eastAsia"/>
          <w:color w:val="000000"/>
          <w:szCs w:val="21"/>
        </w:rPr>
      </w:pPr>
      <w:r>
        <w:rPr>
          <w:rFonts w:hint="eastAsia"/>
          <w:color w:val="000000"/>
          <w:szCs w:val="21"/>
        </w:rPr>
        <w:t>户    名：</w:t>
      </w:r>
    </w:p>
    <w:p>
      <w:pPr>
        <w:spacing w:line="360" w:lineRule="auto"/>
        <w:ind w:left="1" w:firstLine="420" w:firstLineChars="200"/>
        <w:rPr>
          <w:color w:val="000000"/>
          <w:szCs w:val="21"/>
          <w:lang w:val="zh-CN"/>
        </w:rPr>
      </w:pPr>
      <w:r>
        <w:rPr>
          <w:rFonts w:hint="eastAsia"/>
          <w:color w:val="000000"/>
          <w:szCs w:val="21"/>
          <w:lang w:val="zh-CN"/>
        </w:rPr>
        <w:t>开 户 行：</w:t>
      </w:r>
    </w:p>
    <w:p>
      <w:pPr>
        <w:spacing w:line="360" w:lineRule="auto"/>
        <w:ind w:left="1" w:firstLine="420" w:firstLineChars="200"/>
        <w:rPr>
          <w:color w:val="000000"/>
          <w:szCs w:val="21"/>
        </w:rPr>
      </w:pPr>
      <w:r>
        <w:rPr>
          <w:rFonts w:hint="eastAsia"/>
          <w:color w:val="000000"/>
          <w:szCs w:val="21"/>
          <w:lang w:val="zh-CN"/>
        </w:rPr>
        <w:t>帐    号：</w:t>
      </w:r>
    </w:p>
    <w:p>
      <w:pPr>
        <w:spacing w:line="360" w:lineRule="auto"/>
        <w:rPr>
          <w:b/>
          <w:color w:val="000000"/>
          <w:szCs w:val="21"/>
        </w:rPr>
      </w:pPr>
      <w:r>
        <w:rPr>
          <w:rFonts w:hint="eastAsia"/>
          <w:b/>
          <w:color w:val="000000"/>
          <w:szCs w:val="21"/>
        </w:rPr>
        <w:t>三、甲方权利与</w:t>
      </w:r>
      <w:r>
        <w:rPr>
          <w:b/>
          <w:color w:val="000000"/>
          <w:szCs w:val="21"/>
        </w:rPr>
        <w:t>义务</w:t>
      </w:r>
      <w:r>
        <w:rPr>
          <w:rFonts w:hint="eastAsia"/>
          <w:b/>
          <w:color w:val="000000"/>
          <w:szCs w:val="21"/>
        </w:rPr>
        <w:t>：</w:t>
      </w:r>
    </w:p>
    <w:p>
      <w:pPr>
        <w:spacing w:line="360" w:lineRule="auto"/>
        <w:ind w:firstLine="411" w:firstLineChars="196"/>
        <w:rPr>
          <w:b/>
          <w:color w:val="000000"/>
          <w:szCs w:val="21"/>
        </w:rPr>
      </w:pPr>
      <w:r>
        <w:rPr>
          <w:rFonts w:hint="eastAsia"/>
          <w:color w:val="000000"/>
          <w:szCs w:val="21"/>
        </w:rPr>
        <w:t>1、负责</w:t>
      </w:r>
      <w:r>
        <w:rPr>
          <w:rFonts w:hint="eastAsia"/>
          <w:color w:val="000000"/>
          <w:szCs w:val="21"/>
          <w:lang w:val="en-US" w:eastAsia="zh-CN"/>
        </w:rPr>
        <w:t>提供策划要求及作品要求并提供相应的场地及作品呈现所需的条件</w:t>
      </w:r>
      <w:r>
        <w:rPr>
          <w:rFonts w:hint="eastAsia"/>
          <w:color w:val="000000"/>
          <w:szCs w:val="21"/>
        </w:rPr>
        <w:t>。</w:t>
      </w:r>
    </w:p>
    <w:p>
      <w:pPr>
        <w:spacing w:line="360" w:lineRule="auto"/>
        <w:ind w:firstLine="411" w:firstLineChars="196"/>
        <w:rPr>
          <w:color w:val="000000"/>
          <w:szCs w:val="21"/>
        </w:rPr>
      </w:pPr>
      <w:r>
        <w:rPr>
          <w:rFonts w:hint="eastAsia"/>
          <w:color w:val="000000"/>
          <w:szCs w:val="21"/>
        </w:rPr>
        <w:t>2、</w:t>
      </w:r>
      <w:r>
        <w:rPr>
          <w:rFonts w:hint="eastAsia"/>
          <w:color w:val="000000"/>
          <w:szCs w:val="21"/>
          <w:lang w:val="en-US" w:eastAsia="zh-CN"/>
        </w:rPr>
        <w:t>甲方负责对划策和作品进行验收</w:t>
      </w:r>
      <w:r>
        <w:rPr>
          <w:rFonts w:hint="eastAsia"/>
          <w:color w:val="000000"/>
          <w:szCs w:val="21"/>
        </w:rPr>
        <w:t>。</w:t>
      </w:r>
    </w:p>
    <w:p>
      <w:pPr>
        <w:spacing w:line="360" w:lineRule="auto"/>
        <w:ind w:firstLine="411" w:firstLineChars="196"/>
        <w:rPr>
          <w:color w:val="000000"/>
          <w:szCs w:val="21"/>
        </w:rPr>
      </w:pPr>
      <w:r>
        <w:rPr>
          <w:rFonts w:hint="eastAsia"/>
          <w:color w:val="000000"/>
          <w:szCs w:val="21"/>
          <w:lang w:val="en-US" w:eastAsia="zh-CN"/>
        </w:rPr>
        <w:t>3</w:t>
      </w:r>
      <w:r>
        <w:rPr>
          <w:rFonts w:hint="eastAsia"/>
          <w:color w:val="000000"/>
          <w:szCs w:val="21"/>
        </w:rPr>
        <w:t>、甲方需根据</w:t>
      </w:r>
      <w:r>
        <w:rPr>
          <w:rFonts w:hint="eastAsia"/>
          <w:color w:val="000000"/>
          <w:szCs w:val="21"/>
          <w:lang w:val="en-US" w:eastAsia="zh-CN"/>
        </w:rPr>
        <w:t>和合同约定</w:t>
      </w:r>
      <w:r>
        <w:rPr>
          <w:rFonts w:hint="eastAsia"/>
          <w:color w:val="000000"/>
          <w:szCs w:val="21"/>
        </w:rPr>
        <w:t>按期支付乙方费用，如</w:t>
      </w:r>
      <w:r>
        <w:rPr>
          <w:rFonts w:hint="eastAsia"/>
          <w:color w:val="000000"/>
          <w:szCs w:val="21"/>
          <w:lang w:val="en-US" w:eastAsia="zh-CN"/>
        </w:rPr>
        <w:t>因甲方原因造成支付</w:t>
      </w:r>
      <w:r>
        <w:rPr>
          <w:rFonts w:hint="eastAsia" w:ascii="宋体" w:hAnsi="宋体"/>
          <w:color w:val="000000"/>
          <w:szCs w:val="21"/>
        </w:rPr>
        <w:t>逾期则按合同总金额</w:t>
      </w:r>
      <w:r>
        <w:rPr>
          <w:rFonts w:hint="eastAsia" w:ascii="宋体" w:hAnsi="宋体"/>
          <w:color w:val="000000"/>
          <w:szCs w:val="21"/>
          <w:lang w:val="en-US" w:eastAsia="zh-CN"/>
        </w:rPr>
        <w:t>万</w:t>
      </w:r>
      <w:r>
        <w:rPr>
          <w:rFonts w:hint="eastAsia" w:ascii="宋体" w:hAnsi="宋体"/>
          <w:color w:val="000000"/>
          <w:szCs w:val="21"/>
        </w:rPr>
        <w:t>分之</w:t>
      </w:r>
      <w:r>
        <w:rPr>
          <w:rFonts w:hint="eastAsia" w:ascii="宋体" w:hAnsi="宋体"/>
          <w:color w:val="000000"/>
          <w:szCs w:val="21"/>
          <w:lang w:val="en-US" w:eastAsia="zh-CN"/>
        </w:rPr>
        <w:t>三</w:t>
      </w:r>
      <w:r>
        <w:rPr>
          <w:rFonts w:hint="eastAsia" w:ascii="宋体" w:hAnsi="宋体"/>
          <w:color w:val="000000"/>
          <w:szCs w:val="21"/>
        </w:rPr>
        <w:t>每日计算滞纳金</w:t>
      </w:r>
      <w:r>
        <w:rPr>
          <w:rFonts w:hint="eastAsia"/>
          <w:color w:val="000000"/>
          <w:szCs w:val="21"/>
        </w:rPr>
        <w:t>。</w:t>
      </w:r>
    </w:p>
    <w:p>
      <w:pPr>
        <w:spacing w:line="360" w:lineRule="auto"/>
        <w:ind w:firstLine="411" w:firstLineChars="196"/>
        <w:rPr>
          <w:color w:val="000000"/>
          <w:szCs w:val="21"/>
        </w:rPr>
      </w:pPr>
      <w:r>
        <w:rPr>
          <w:rFonts w:hint="eastAsia"/>
          <w:color w:val="000000"/>
          <w:szCs w:val="21"/>
          <w:lang w:val="en-US" w:eastAsia="zh-CN"/>
        </w:rPr>
        <w:t>4</w:t>
      </w:r>
      <w:r>
        <w:rPr>
          <w:rFonts w:hint="eastAsia"/>
          <w:color w:val="000000"/>
          <w:szCs w:val="21"/>
        </w:rPr>
        <w:t>、如因甲方原因</w:t>
      </w:r>
      <w:r>
        <w:rPr>
          <w:rFonts w:hint="eastAsia"/>
          <w:color w:val="000000"/>
          <w:szCs w:val="21"/>
          <w:lang w:val="en-US" w:eastAsia="zh-CN"/>
        </w:rPr>
        <w:t>展览</w:t>
      </w:r>
      <w:r>
        <w:rPr>
          <w:rFonts w:hint="eastAsia"/>
          <w:color w:val="000000"/>
          <w:szCs w:val="21"/>
        </w:rPr>
        <w:t>暂停或取消，</w:t>
      </w:r>
      <w:r>
        <w:rPr>
          <w:rFonts w:hint="eastAsia"/>
          <w:color w:val="000000"/>
          <w:szCs w:val="21"/>
          <w:lang w:val="en-US" w:eastAsia="zh-CN"/>
        </w:rPr>
        <w:t>乙方实际已产生的费用据实结算</w:t>
      </w:r>
      <w:r>
        <w:rPr>
          <w:rFonts w:hint="eastAsia"/>
          <w:color w:val="000000"/>
          <w:szCs w:val="21"/>
        </w:rPr>
        <w:t>。</w:t>
      </w:r>
    </w:p>
    <w:p>
      <w:pPr>
        <w:spacing w:line="360" w:lineRule="auto"/>
        <w:rPr>
          <w:b/>
          <w:color w:val="000000"/>
          <w:szCs w:val="21"/>
        </w:rPr>
      </w:pPr>
      <w:r>
        <w:rPr>
          <w:rFonts w:hint="eastAsia"/>
          <w:b/>
          <w:color w:val="000000"/>
          <w:szCs w:val="21"/>
        </w:rPr>
        <w:t>四、乙方权利与</w:t>
      </w:r>
      <w:r>
        <w:rPr>
          <w:b/>
          <w:color w:val="000000"/>
          <w:szCs w:val="21"/>
        </w:rPr>
        <w:t>义务</w:t>
      </w:r>
      <w:r>
        <w:rPr>
          <w:rFonts w:hint="eastAsia"/>
          <w:b/>
          <w:color w:val="000000"/>
          <w:szCs w:val="21"/>
        </w:rPr>
        <w:t>：</w:t>
      </w:r>
    </w:p>
    <w:p>
      <w:pPr>
        <w:spacing w:line="360" w:lineRule="auto"/>
        <w:ind w:firstLine="411" w:firstLineChars="196"/>
        <w:rPr>
          <w:b/>
          <w:color w:val="000000"/>
          <w:szCs w:val="21"/>
        </w:rPr>
      </w:pPr>
      <w:r>
        <w:rPr>
          <w:rFonts w:hint="eastAsia"/>
          <w:color w:val="000000"/>
          <w:szCs w:val="21"/>
        </w:rPr>
        <w:t>1、按照本合同及甲方的需求，按时保质保量</w:t>
      </w:r>
      <w:r>
        <w:rPr>
          <w:rFonts w:hint="eastAsia"/>
          <w:color w:val="000000"/>
          <w:szCs w:val="21"/>
          <w:lang w:val="en-US" w:eastAsia="zh-CN"/>
        </w:rPr>
        <w:t>提供策划及光影作品内容</w:t>
      </w:r>
      <w:r>
        <w:rPr>
          <w:rFonts w:hint="eastAsia"/>
          <w:color w:val="000000"/>
          <w:szCs w:val="21"/>
        </w:rPr>
        <w:t>。</w:t>
      </w:r>
    </w:p>
    <w:p>
      <w:pPr>
        <w:spacing w:line="440" w:lineRule="exact"/>
        <w:ind w:left="2" w:leftChars="1" w:firstLine="420" w:firstLineChars="200"/>
        <w:rPr>
          <w:rFonts w:ascii="宋体" w:hAnsi="宋体"/>
          <w:color w:val="000000"/>
          <w:szCs w:val="21"/>
        </w:rPr>
      </w:pPr>
      <w:r>
        <w:rPr>
          <w:rFonts w:hint="eastAsia"/>
          <w:color w:val="000000"/>
          <w:szCs w:val="21"/>
        </w:rPr>
        <w:t>2、</w:t>
      </w:r>
      <w:r>
        <w:rPr>
          <w:rFonts w:hint="eastAsia" w:ascii="宋体" w:hAnsi="宋体"/>
          <w:bCs/>
          <w:color w:val="000000"/>
          <w:szCs w:val="21"/>
        </w:rPr>
        <w:t>乙方需确保</w:t>
      </w:r>
      <w:r>
        <w:rPr>
          <w:rFonts w:hint="eastAsia" w:ascii="宋体" w:hAnsi="宋体"/>
          <w:bCs/>
          <w:color w:val="000000"/>
          <w:szCs w:val="21"/>
          <w:lang w:val="en-US" w:eastAsia="zh-CN"/>
        </w:rPr>
        <w:t>策划内容及成果、光影作品内容设计制作及呈现效果满足甲方要求</w:t>
      </w:r>
      <w:r>
        <w:rPr>
          <w:rFonts w:hint="eastAsia" w:ascii="宋体" w:hAnsi="宋体"/>
          <w:color w:val="000000"/>
          <w:szCs w:val="21"/>
        </w:rPr>
        <w:t>。</w:t>
      </w:r>
    </w:p>
    <w:p>
      <w:pPr>
        <w:spacing w:line="440" w:lineRule="exact"/>
        <w:ind w:left="2" w:leftChars="1" w:firstLine="420" w:firstLineChars="200"/>
        <w:rPr>
          <w:color w:val="000000"/>
          <w:szCs w:val="21"/>
        </w:rPr>
      </w:pPr>
      <w:r>
        <w:rPr>
          <w:rFonts w:hint="eastAsia"/>
          <w:color w:val="000000"/>
          <w:szCs w:val="21"/>
        </w:rPr>
        <w:t>3、</w:t>
      </w:r>
      <w:r>
        <w:rPr>
          <w:rFonts w:hint="eastAsia"/>
          <w:color w:val="000000"/>
          <w:szCs w:val="21"/>
          <w:lang w:val="en-US" w:eastAsia="zh-CN"/>
        </w:rPr>
        <w:t>乙方确保甲方获得光影作品内容的永久使用权及源文件，若因作品内容使用产生侵权，责任由乙方承担，造成甲方损失的乙方负责赔偿。</w:t>
      </w:r>
    </w:p>
    <w:p>
      <w:pPr>
        <w:spacing w:line="440" w:lineRule="exact"/>
        <w:rPr>
          <w:b/>
          <w:bCs/>
          <w:color w:val="000000"/>
          <w:szCs w:val="21"/>
        </w:rPr>
      </w:pPr>
      <w:r>
        <w:rPr>
          <w:rFonts w:hint="eastAsia"/>
          <w:b/>
          <w:bCs/>
          <w:color w:val="000000"/>
          <w:szCs w:val="21"/>
        </w:rPr>
        <w:t>六、协议解除及违约责任</w:t>
      </w:r>
    </w:p>
    <w:p>
      <w:pPr>
        <w:spacing w:line="440" w:lineRule="exact"/>
        <w:ind w:firstLine="420" w:firstLineChars="200"/>
        <w:rPr>
          <w:rFonts w:hint="eastAsia"/>
          <w:color w:val="000000"/>
          <w:szCs w:val="21"/>
          <w:lang w:val="zh-CN" w:eastAsia="zh-CN"/>
        </w:rPr>
      </w:pPr>
      <w:r>
        <w:rPr>
          <w:rFonts w:hint="eastAsia"/>
          <w:color w:val="000000"/>
          <w:szCs w:val="21"/>
        </w:rPr>
        <w:t>1、因乙方未按期履行义务，或因乙方原因导致</w:t>
      </w:r>
      <w:r>
        <w:rPr>
          <w:rFonts w:hint="eastAsia"/>
          <w:color w:val="000000"/>
          <w:szCs w:val="21"/>
          <w:lang w:val="en-US" w:eastAsia="zh-CN"/>
        </w:rPr>
        <w:t>展览</w:t>
      </w:r>
      <w:r>
        <w:rPr>
          <w:rFonts w:hint="eastAsia"/>
          <w:color w:val="000000"/>
          <w:szCs w:val="21"/>
        </w:rPr>
        <w:t>活动不能按期推进的，甲方有权解除本</w:t>
      </w:r>
      <w:r>
        <w:rPr>
          <w:rFonts w:hint="eastAsia"/>
          <w:color w:val="000000"/>
          <w:szCs w:val="21"/>
          <w:lang w:val="en-US" w:eastAsia="zh-CN"/>
        </w:rPr>
        <w:t>协议</w:t>
      </w:r>
      <w:r>
        <w:rPr>
          <w:rFonts w:hint="eastAsia"/>
          <w:color w:val="000000"/>
          <w:szCs w:val="21"/>
        </w:rPr>
        <w:t>，</w:t>
      </w:r>
      <w:r>
        <w:rPr>
          <w:rFonts w:hint="eastAsia"/>
          <w:color w:val="000000"/>
          <w:szCs w:val="21"/>
          <w:lang w:val="zh-CN" w:eastAsia="zh-CN"/>
        </w:rPr>
        <w:t>乙方应承担本合同第六条第4款约定的违约责任。</w:t>
      </w:r>
    </w:p>
    <w:p>
      <w:pPr>
        <w:spacing w:line="440" w:lineRule="exact"/>
        <w:ind w:firstLine="420" w:firstLineChars="200"/>
        <w:rPr>
          <w:color w:val="000000"/>
          <w:szCs w:val="21"/>
        </w:rPr>
      </w:pPr>
      <w:r>
        <w:rPr>
          <w:rFonts w:hint="eastAsia"/>
          <w:color w:val="000000"/>
          <w:szCs w:val="21"/>
        </w:rPr>
        <w:t>2、因甲方未按期履行义务，或因甲方原因导致</w:t>
      </w:r>
      <w:r>
        <w:rPr>
          <w:rFonts w:hint="eastAsia"/>
          <w:color w:val="000000"/>
          <w:szCs w:val="21"/>
          <w:lang w:val="en-US" w:eastAsia="zh-CN"/>
        </w:rPr>
        <w:t>展览</w:t>
      </w:r>
      <w:r>
        <w:rPr>
          <w:rFonts w:hint="eastAsia"/>
          <w:color w:val="000000"/>
          <w:szCs w:val="21"/>
        </w:rPr>
        <w:t>活动不能按期推进的，乙方有权解除本协议，且双方均不承担违约责任。</w:t>
      </w:r>
    </w:p>
    <w:p>
      <w:pPr>
        <w:spacing w:line="440" w:lineRule="exact"/>
        <w:ind w:firstLine="420" w:firstLineChars="200"/>
        <w:rPr>
          <w:color w:val="000000"/>
          <w:szCs w:val="21"/>
        </w:rPr>
      </w:pPr>
      <w:r>
        <w:rPr>
          <w:rFonts w:hint="eastAsia"/>
          <w:color w:val="000000"/>
          <w:szCs w:val="21"/>
        </w:rPr>
        <w:t xml:space="preserve">3、因战乱、自然灾害、疫情、政府重大调整等不可抗拒力导致合同不能履行或部分不能履行时，双方均不构成违约。 </w:t>
      </w:r>
    </w:p>
    <w:p>
      <w:pPr>
        <w:spacing w:line="440" w:lineRule="exact"/>
        <w:ind w:firstLine="420" w:firstLineChars="200"/>
        <w:rPr>
          <w:color w:val="000000"/>
          <w:szCs w:val="21"/>
        </w:rPr>
      </w:pPr>
      <w:r>
        <w:rPr>
          <w:rFonts w:hint="eastAsia"/>
          <w:color w:val="000000"/>
          <w:szCs w:val="21"/>
        </w:rPr>
        <w:t>4、乙方如有下列违约行为，甲方有权解除本合同</w:t>
      </w:r>
      <w:r>
        <w:rPr>
          <w:rFonts w:hint="eastAsia"/>
          <w:color w:val="000000"/>
          <w:szCs w:val="21"/>
          <w:lang w:val="en-US" w:eastAsia="zh-CN"/>
        </w:rPr>
        <w:t>且</w:t>
      </w:r>
      <w:r>
        <w:rPr>
          <w:rFonts w:hint="eastAsia"/>
          <w:color w:val="000000"/>
          <w:szCs w:val="21"/>
        </w:rPr>
        <w:t>不支付乙方任何费用，</w:t>
      </w:r>
      <w:r>
        <w:rPr>
          <w:rFonts w:hint="eastAsia"/>
          <w:color w:val="000000"/>
          <w:szCs w:val="21"/>
          <w:lang w:val="en-US" w:eastAsia="zh-CN"/>
        </w:rPr>
        <w:t>若甲方已支付款项的，</w:t>
      </w:r>
      <w:r>
        <w:rPr>
          <w:rFonts w:hint="eastAsia"/>
          <w:color w:val="000000"/>
          <w:szCs w:val="21"/>
          <w:lang w:val="zh-CN" w:eastAsia="zh-CN"/>
        </w:rPr>
        <w:t>甲方有权要求乙方退回已经支付的款项</w:t>
      </w:r>
      <w:r>
        <w:rPr>
          <w:rFonts w:hint="eastAsia"/>
          <w:color w:val="000000"/>
          <w:szCs w:val="21"/>
        </w:rPr>
        <w:t>并且有权要求乙方支付本合同总额50%的违约金，若违约金不足以弥补损失的，则乙方按照甲方所受损失据实赔偿。</w:t>
      </w:r>
    </w:p>
    <w:p>
      <w:pPr>
        <w:spacing w:line="440" w:lineRule="exact"/>
        <w:ind w:firstLine="420" w:firstLineChars="200"/>
        <w:rPr>
          <w:color w:val="000000"/>
          <w:szCs w:val="21"/>
        </w:rPr>
      </w:pPr>
      <w:r>
        <w:rPr>
          <w:rFonts w:hint="eastAsia"/>
          <w:color w:val="000000"/>
          <w:szCs w:val="21"/>
        </w:rPr>
        <w:t>1)未按合同约定的</w:t>
      </w:r>
      <w:r>
        <w:rPr>
          <w:rFonts w:hint="eastAsia"/>
          <w:color w:val="000000"/>
          <w:szCs w:val="21"/>
          <w:lang w:val="en-US" w:eastAsia="zh-CN"/>
        </w:rPr>
        <w:t>提供满足要求的光影作品内容</w:t>
      </w:r>
      <w:r>
        <w:rPr>
          <w:rFonts w:hint="eastAsia"/>
          <w:color w:val="000000"/>
          <w:szCs w:val="21"/>
        </w:rPr>
        <w:t>。</w:t>
      </w:r>
    </w:p>
    <w:p>
      <w:pPr>
        <w:spacing w:line="440" w:lineRule="exact"/>
        <w:ind w:firstLine="420" w:firstLineChars="200"/>
        <w:rPr>
          <w:color w:val="000000"/>
          <w:szCs w:val="21"/>
        </w:rPr>
      </w:pPr>
      <w:r>
        <w:rPr>
          <w:rFonts w:hint="eastAsia"/>
          <w:color w:val="000000"/>
          <w:szCs w:val="21"/>
        </w:rPr>
        <w:t>2)如因乙方</w:t>
      </w:r>
      <w:r>
        <w:rPr>
          <w:rFonts w:hint="eastAsia"/>
          <w:color w:val="000000"/>
          <w:szCs w:val="21"/>
          <w:lang w:val="en-US" w:eastAsia="zh-CN"/>
        </w:rPr>
        <w:t>策划或光影作品内容</w:t>
      </w:r>
      <w:r>
        <w:rPr>
          <w:rFonts w:hint="eastAsia"/>
          <w:color w:val="000000"/>
          <w:szCs w:val="21"/>
        </w:rPr>
        <w:t>引起的重大</w:t>
      </w:r>
      <w:r>
        <w:rPr>
          <w:rFonts w:hint="eastAsia"/>
          <w:color w:val="000000"/>
          <w:szCs w:val="21"/>
          <w:lang w:val="en-US" w:eastAsia="zh-CN"/>
        </w:rPr>
        <w:t>展览活动</w:t>
      </w:r>
      <w:r>
        <w:rPr>
          <w:rFonts w:hint="eastAsia"/>
          <w:color w:val="000000"/>
          <w:szCs w:val="21"/>
        </w:rPr>
        <w:t>失误</w:t>
      </w:r>
      <w:r>
        <w:rPr>
          <w:rFonts w:hint="eastAsia"/>
          <w:color w:val="000000"/>
          <w:szCs w:val="21"/>
          <w:lang w:val="en-US" w:eastAsia="zh-CN"/>
        </w:rPr>
        <w:t>或安全事故</w:t>
      </w:r>
      <w:r>
        <w:rPr>
          <w:rFonts w:hint="eastAsia"/>
          <w:color w:val="000000"/>
          <w:szCs w:val="21"/>
        </w:rPr>
        <w:t>的。</w:t>
      </w:r>
    </w:p>
    <w:p>
      <w:pPr>
        <w:spacing w:line="440" w:lineRule="exact"/>
        <w:ind w:firstLine="420" w:firstLineChars="200"/>
        <w:rPr>
          <w:color w:val="000000"/>
          <w:szCs w:val="21"/>
        </w:rPr>
      </w:pPr>
      <w:r>
        <w:rPr>
          <w:rFonts w:hint="eastAsia"/>
          <w:color w:val="000000"/>
          <w:szCs w:val="21"/>
        </w:rPr>
        <w:t>3)除不可抗力因素外，未按合同约定</w:t>
      </w:r>
      <w:r>
        <w:rPr>
          <w:rFonts w:hint="eastAsia"/>
          <w:color w:val="000000"/>
          <w:szCs w:val="21"/>
          <w:lang w:val="en-US" w:eastAsia="zh-CN"/>
        </w:rPr>
        <w:t>时间提供满足要求的策划和光影作品内容</w:t>
      </w:r>
      <w:r>
        <w:rPr>
          <w:rFonts w:hint="eastAsia"/>
          <w:color w:val="000000"/>
          <w:szCs w:val="21"/>
        </w:rPr>
        <w:t>以致给甲方带来影响的。</w:t>
      </w:r>
    </w:p>
    <w:p>
      <w:pPr>
        <w:spacing w:line="440" w:lineRule="exact"/>
        <w:ind w:firstLine="420" w:firstLineChars="200"/>
        <w:rPr>
          <w:color w:val="000000"/>
          <w:szCs w:val="21"/>
        </w:rPr>
      </w:pPr>
      <w:r>
        <w:rPr>
          <w:rFonts w:hint="eastAsia"/>
          <w:color w:val="000000"/>
          <w:szCs w:val="21"/>
        </w:rPr>
        <w:t>4)乙方无正当理由提前解除本合同的。</w:t>
      </w:r>
    </w:p>
    <w:p>
      <w:pPr>
        <w:spacing w:line="440" w:lineRule="exact"/>
        <w:ind w:firstLine="420" w:firstLineChars="200"/>
        <w:rPr>
          <w:color w:val="000000"/>
          <w:szCs w:val="21"/>
        </w:rPr>
      </w:pPr>
      <w:r>
        <w:rPr>
          <w:rFonts w:hint="eastAsia"/>
          <w:color w:val="000000"/>
          <w:szCs w:val="21"/>
          <w:lang w:val="en-US" w:eastAsia="zh-CN"/>
        </w:rPr>
        <w:t>5</w:t>
      </w:r>
      <w:r>
        <w:rPr>
          <w:rFonts w:hint="eastAsia"/>
          <w:color w:val="000000"/>
          <w:szCs w:val="21"/>
        </w:rPr>
        <w:t>)其它违反本合同约定的行为。</w:t>
      </w:r>
    </w:p>
    <w:p>
      <w:pPr>
        <w:spacing w:line="360" w:lineRule="auto"/>
        <w:rPr>
          <w:b/>
          <w:color w:val="000000"/>
          <w:szCs w:val="21"/>
        </w:rPr>
      </w:pPr>
      <w:r>
        <w:rPr>
          <w:rFonts w:hint="eastAsia"/>
          <w:b/>
          <w:color w:val="000000"/>
          <w:szCs w:val="21"/>
        </w:rPr>
        <w:t>七、其他条款</w:t>
      </w:r>
    </w:p>
    <w:p>
      <w:pPr>
        <w:spacing w:line="360" w:lineRule="auto"/>
        <w:ind w:firstLine="420" w:firstLineChars="200"/>
        <w:rPr>
          <w:bCs/>
          <w:color w:val="000000"/>
          <w:szCs w:val="21"/>
        </w:rPr>
      </w:pPr>
      <w:r>
        <w:rPr>
          <w:rFonts w:hint="eastAsia"/>
          <w:bCs/>
          <w:color w:val="000000"/>
          <w:szCs w:val="21"/>
        </w:rPr>
        <w:t>1、合同生效及其效力应符合《中华人民共和国民法典》有关规定。</w:t>
      </w:r>
    </w:p>
    <w:p>
      <w:pPr>
        <w:spacing w:line="360" w:lineRule="auto"/>
        <w:rPr>
          <w:color w:val="000000"/>
          <w:szCs w:val="21"/>
        </w:rPr>
      </w:pPr>
      <w:r>
        <w:rPr>
          <w:rFonts w:hint="eastAsia"/>
          <w:color w:val="000000"/>
          <w:szCs w:val="21"/>
        </w:rPr>
        <w:t xml:space="preserve">    </w:t>
      </w:r>
      <w:r>
        <w:rPr>
          <w:color w:val="000000"/>
          <w:szCs w:val="21"/>
        </w:rPr>
        <w:t>2</w:t>
      </w:r>
      <w:r>
        <w:rPr>
          <w:rFonts w:hint="eastAsia"/>
          <w:color w:val="000000"/>
          <w:szCs w:val="21"/>
        </w:rPr>
        <w:t>、本合同壹式肆份，甲方执贰份，乙方执贰份，双方签字盖章即生效，具有同等法律效力。</w:t>
      </w:r>
    </w:p>
    <w:p>
      <w:pPr>
        <w:spacing w:line="360" w:lineRule="auto"/>
        <w:ind w:firstLine="420" w:firstLineChars="200"/>
        <w:rPr>
          <w:color w:val="000000"/>
          <w:szCs w:val="21"/>
        </w:rPr>
      </w:pPr>
      <w:r>
        <w:rPr>
          <w:color w:val="000000"/>
          <w:szCs w:val="21"/>
        </w:rPr>
        <w:t>3</w:t>
      </w:r>
      <w:r>
        <w:rPr>
          <w:rFonts w:hint="eastAsia"/>
          <w:color w:val="000000"/>
          <w:szCs w:val="21"/>
        </w:rPr>
        <w:t>、执行本合同发生争议时，由双方协商解决，在60天内甲乙双方协商不能达成协议的，任何一方可向甲方</w:t>
      </w:r>
      <w:r>
        <w:rPr>
          <w:rFonts w:hint="eastAsia"/>
          <w:color w:val="000000"/>
          <w:szCs w:val="21"/>
          <w:lang w:val="en-US" w:eastAsia="zh-CN"/>
        </w:rPr>
        <w:t>住所</w:t>
      </w:r>
      <w:r>
        <w:rPr>
          <w:rFonts w:hint="eastAsia"/>
          <w:color w:val="000000"/>
          <w:szCs w:val="21"/>
        </w:rPr>
        <w:t>地有管辖权的人民法院提请诉讼解决。</w:t>
      </w:r>
    </w:p>
    <w:p>
      <w:pPr>
        <w:spacing w:line="360" w:lineRule="auto"/>
        <w:ind w:firstLine="420" w:firstLineChars="200"/>
        <w:rPr>
          <w:color w:val="000000"/>
          <w:szCs w:val="21"/>
        </w:rPr>
      </w:pPr>
      <w:r>
        <w:rPr>
          <w:rFonts w:hint="eastAsia"/>
          <w:color w:val="000000"/>
          <w:szCs w:val="21"/>
          <w:lang w:val="en-US" w:eastAsia="zh-CN"/>
        </w:rPr>
        <w:t>4</w:t>
      </w:r>
      <w:r>
        <w:rPr>
          <w:rFonts w:hint="eastAsia"/>
          <w:color w:val="000000"/>
          <w:szCs w:val="21"/>
        </w:rPr>
        <w:t>、本合同条件未尽事宜依照《中华人民共和国民法典》，由两方共同协商确定。</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color w:val="000000"/>
          <w:szCs w:val="21"/>
        </w:rPr>
      </w:pPr>
      <w:r>
        <w:rPr>
          <w:rFonts w:hint="eastAsia"/>
          <w:color w:val="000000"/>
          <w:szCs w:val="21"/>
        </w:rPr>
        <w:t>（以下无正文）</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color w:val="000000"/>
          <w:szCs w:val="21"/>
        </w:rPr>
      </w:pPr>
      <w:r>
        <w:rPr>
          <w:rFonts w:hint="eastAsia"/>
          <w:color w:val="000000"/>
          <w:szCs w:val="21"/>
        </w:rPr>
        <w:t>（以上无正文）</w:t>
      </w:r>
    </w:p>
    <w:p>
      <w:pPr>
        <w:spacing w:line="360" w:lineRule="auto"/>
        <w:rPr>
          <w:color w:val="000000"/>
          <w:szCs w:val="21"/>
        </w:rPr>
      </w:pPr>
      <w:r>
        <w:rPr>
          <w:rFonts w:hint="eastAsia"/>
          <w:color w:val="000000"/>
          <w:szCs w:val="21"/>
        </w:rPr>
        <w:t xml:space="preserve">甲    方：重庆山水城文化旅游发展有限公司                      </w:t>
      </w:r>
    </w:p>
    <w:p>
      <w:pPr>
        <w:spacing w:line="360" w:lineRule="auto"/>
        <w:rPr>
          <w:color w:val="000000"/>
          <w:szCs w:val="21"/>
        </w:rPr>
      </w:pPr>
      <w:r>
        <w:rPr>
          <w:rFonts w:hint="eastAsia"/>
          <w:color w:val="000000"/>
          <w:szCs w:val="21"/>
        </w:rPr>
        <w:t>法定代表人（授权委托人）：</w:t>
      </w:r>
    </w:p>
    <w:p>
      <w:pPr>
        <w:spacing w:line="360" w:lineRule="auto"/>
        <w:rPr>
          <w:rFonts w:hint="default" w:eastAsia="宋体"/>
          <w:color w:val="000000"/>
          <w:szCs w:val="21"/>
          <w:lang w:val="en-US" w:eastAsia="zh-CN"/>
        </w:rPr>
      </w:pPr>
      <w:r>
        <w:rPr>
          <w:rFonts w:hint="eastAsia"/>
          <w:color w:val="000000"/>
          <w:szCs w:val="21"/>
        </w:rPr>
        <w:t>经 办 人：                  经办部门负责人：</w:t>
      </w:r>
      <w:r>
        <w:rPr>
          <w:rFonts w:hint="eastAsia"/>
          <w:color w:val="000000"/>
          <w:szCs w:val="21"/>
          <w:lang w:val="en-US" w:eastAsia="zh-CN"/>
        </w:rPr>
        <w:t xml:space="preserve">           分管领导：</w:t>
      </w:r>
    </w:p>
    <w:p>
      <w:pPr>
        <w:spacing w:line="360" w:lineRule="auto"/>
        <w:rPr>
          <w:color w:val="000000"/>
          <w:szCs w:val="21"/>
        </w:rPr>
      </w:pPr>
      <w:r>
        <w:rPr>
          <w:rFonts w:hint="eastAsia"/>
          <w:color w:val="000000"/>
          <w:szCs w:val="21"/>
        </w:rPr>
        <w:t xml:space="preserve">电    话：                  </w:t>
      </w:r>
    </w:p>
    <w:p>
      <w:pPr>
        <w:spacing w:line="360" w:lineRule="auto"/>
        <w:rPr>
          <w:color w:val="000000"/>
          <w:szCs w:val="21"/>
        </w:rPr>
      </w:pPr>
      <w:r>
        <w:rPr>
          <w:rFonts w:hint="eastAsia"/>
          <w:color w:val="000000"/>
          <w:szCs w:val="21"/>
        </w:rPr>
        <w:t>送达地址：                  签订时间：</w:t>
      </w:r>
    </w:p>
    <w:p>
      <w:pPr>
        <w:spacing w:line="360" w:lineRule="auto"/>
        <w:rPr>
          <w:color w:val="000000"/>
          <w:szCs w:val="21"/>
        </w:rPr>
      </w:pPr>
      <w:r>
        <w:rPr>
          <w:color w:val="000000"/>
          <w:szCs w:val="21"/>
        </w:rPr>
        <w:t xml:space="preserve"> </w:t>
      </w:r>
    </w:p>
    <w:p>
      <w:pPr>
        <w:spacing w:line="360" w:lineRule="auto"/>
        <w:rPr>
          <w:color w:val="000000"/>
          <w:szCs w:val="21"/>
        </w:rPr>
      </w:pPr>
      <w:r>
        <w:rPr>
          <w:rFonts w:hint="eastAsia"/>
          <w:color w:val="000000"/>
          <w:szCs w:val="21"/>
        </w:rPr>
        <w:t xml:space="preserve">乙   方：                  </w:t>
      </w:r>
    </w:p>
    <w:p>
      <w:pPr>
        <w:spacing w:line="360" w:lineRule="auto"/>
        <w:rPr>
          <w:color w:val="000000"/>
          <w:szCs w:val="21"/>
        </w:rPr>
      </w:pPr>
      <w:r>
        <w:rPr>
          <w:rFonts w:hint="eastAsia"/>
          <w:color w:val="000000"/>
          <w:szCs w:val="21"/>
        </w:rPr>
        <w:t>法定代表人（授权委托人）：</w:t>
      </w:r>
    </w:p>
    <w:p>
      <w:pPr>
        <w:spacing w:line="360" w:lineRule="auto"/>
        <w:rPr>
          <w:color w:val="000000"/>
          <w:szCs w:val="21"/>
        </w:rPr>
      </w:pPr>
      <w:r>
        <w:rPr>
          <w:rFonts w:hint="eastAsia"/>
          <w:color w:val="000000"/>
          <w:szCs w:val="21"/>
        </w:rPr>
        <w:t>经 办 人：                  经办部门负责人：</w:t>
      </w:r>
    </w:p>
    <w:p>
      <w:pPr>
        <w:spacing w:line="360" w:lineRule="auto"/>
        <w:rPr>
          <w:rFonts w:hint="eastAsia"/>
          <w:color w:val="000000"/>
          <w:szCs w:val="21"/>
        </w:rPr>
      </w:pPr>
      <w:r>
        <w:rPr>
          <w:rFonts w:hint="eastAsia"/>
          <w:color w:val="000000"/>
          <w:szCs w:val="21"/>
        </w:rPr>
        <w:t xml:space="preserve">电    话：                  </w:t>
      </w:r>
    </w:p>
    <w:p>
      <w:pPr>
        <w:spacing w:line="360" w:lineRule="auto"/>
        <w:rPr>
          <w:color w:val="auto"/>
          <w:highlight w:val="none"/>
        </w:rPr>
      </w:pPr>
      <w:r>
        <w:rPr>
          <w:rFonts w:hint="eastAsia"/>
          <w:color w:val="000000"/>
          <w:szCs w:val="21"/>
        </w:rPr>
        <w:t>送达地址：                  签订时间</w:t>
      </w:r>
      <w:r>
        <w:rPr>
          <w:rFonts w:hint="eastAsia"/>
          <w:color w:val="000000"/>
          <w:szCs w:val="21"/>
          <w:lang w:eastAsia="zh-CN"/>
        </w:rPr>
        <w:t>：</w:t>
      </w:r>
    </w:p>
    <w:p>
      <w:pPr>
        <w:pStyle w:val="43"/>
        <w:rPr>
          <w:rFonts w:hint="eastAsia" w:ascii="宋体" w:hAnsi="宋体"/>
          <w:color w:val="auto"/>
          <w:szCs w:val="21"/>
          <w:highlight w:val="none"/>
        </w:rPr>
      </w:pPr>
    </w:p>
    <w:p>
      <w:pPr>
        <w:rPr>
          <w:rFonts w:hint="eastAsia" w:ascii="宋体" w:hAnsi="宋体"/>
          <w:color w:val="auto"/>
          <w:szCs w:val="21"/>
          <w:highlight w:val="none"/>
        </w:rPr>
      </w:pPr>
    </w:p>
    <w:p>
      <w:pPr>
        <w:pStyle w:val="3"/>
        <w:numPr>
          <w:ilvl w:val="0"/>
          <w:numId w:val="0"/>
        </w:numPr>
        <w:bidi w:val="0"/>
        <w:jc w:val="center"/>
        <w:rPr>
          <w:rFonts w:hint="default" w:eastAsia="黑体"/>
          <w:color w:val="auto"/>
          <w:highlight w:val="none"/>
          <w:lang w:val="en-US" w:eastAsia="zh-CN"/>
        </w:rPr>
      </w:pPr>
      <w:bookmarkStart w:id="64" w:name="_Toc13029"/>
      <w:r>
        <w:rPr>
          <w:rFonts w:hint="eastAsia"/>
          <w:color w:val="auto"/>
          <w:highlight w:val="none"/>
          <w:lang w:val="en-US" w:eastAsia="zh-CN"/>
        </w:rPr>
        <w:t xml:space="preserve">第五章  </w:t>
      </w:r>
      <w:bookmarkEnd w:id="64"/>
      <w:r>
        <w:rPr>
          <w:rFonts w:hint="eastAsia"/>
          <w:color w:val="auto"/>
          <w:highlight w:val="none"/>
          <w:lang w:val="en-US" w:eastAsia="zh-CN"/>
        </w:rPr>
        <w:t>总策划编制及邀约作品内容要求</w:t>
      </w:r>
    </w:p>
    <w:p>
      <w:pPr>
        <w:pStyle w:val="2"/>
        <w:jc w:val="center"/>
        <w:rPr>
          <w:rFonts w:hint="eastAsia" w:ascii="方正仿宋_GBK" w:hAnsi="方正仿宋_GBK" w:eastAsia="方正仿宋_GBK" w:cs="方正仿宋_GBK"/>
          <w:bCs/>
          <w:color w:val="auto"/>
          <w:kern w:val="0"/>
          <w:sz w:val="28"/>
          <w:szCs w:val="28"/>
          <w:highlight w:val="none"/>
          <w:lang w:val="en-US" w:eastAsia="zh-CN"/>
        </w:rPr>
      </w:pPr>
      <w:r>
        <w:rPr>
          <w:rFonts w:hint="eastAsia" w:ascii="方正仿宋_GBK" w:hAnsi="方正仿宋_GBK" w:eastAsia="方正仿宋_GBK" w:cs="方正仿宋_GBK"/>
          <w:bCs/>
          <w:color w:val="auto"/>
          <w:kern w:val="0"/>
          <w:sz w:val="28"/>
          <w:szCs w:val="28"/>
          <w:highlight w:val="none"/>
          <w:lang w:val="en-US" w:eastAsia="zh-CN"/>
        </w:rPr>
        <w:t>2026年重庆之夜·国际光影文化旅游季进行总策划编制要求</w:t>
      </w:r>
    </w:p>
    <w:tbl>
      <w:tblPr>
        <w:tblStyle w:val="54"/>
        <w:tblW w:w="97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2"/>
        <w:gridCol w:w="738"/>
        <w:gridCol w:w="862"/>
        <w:gridCol w:w="3800"/>
        <w:gridCol w:w="3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284" w:type="pct"/>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序号</w:t>
            </w:r>
          </w:p>
        </w:tc>
        <w:tc>
          <w:tcPr>
            <w:tcW w:w="380" w:type="pct"/>
            <w:tcBorders>
              <w:top w:val="nil"/>
              <w:left w:val="single" w:color="000000" w:sz="4" w:space="0"/>
              <w:bottom w:val="single" w:color="000000" w:sz="4" w:space="0"/>
              <w:right w:val="single" w:color="000000" w:sz="4" w:space="0"/>
            </w:tcBorders>
            <w:shd w:val="clear" w:color="auto" w:fill="A6A6A6"/>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策划内容</w:t>
            </w:r>
          </w:p>
        </w:tc>
        <w:tc>
          <w:tcPr>
            <w:tcW w:w="2402" w:type="pct"/>
            <w:gridSpan w:val="2"/>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具体内容</w:t>
            </w:r>
          </w:p>
        </w:tc>
        <w:tc>
          <w:tcPr>
            <w:tcW w:w="1932" w:type="pct"/>
            <w:tcBorders>
              <w:top w:val="nil"/>
              <w:left w:val="single" w:color="000000" w:sz="4" w:space="0"/>
              <w:bottom w:val="single" w:color="000000" w:sz="4" w:space="0"/>
              <w:right w:val="single" w:color="000000" w:sz="4" w:space="0"/>
            </w:tcBorders>
            <w:shd w:val="clear" w:color="auto" w:fill="A6A6A6"/>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活动策划</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1.1</w:t>
            </w:r>
          </w:p>
        </w:tc>
        <w:tc>
          <w:tcPr>
            <w:tcW w:w="1958"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重庆国际光影文化旅游节顶层规划</w:t>
            </w:r>
          </w:p>
        </w:tc>
        <w:tc>
          <w:tcPr>
            <w:tcW w:w="193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根据旅游节整体定位及未来目标，制定本届旅游节顶层规划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1.2</w:t>
            </w:r>
          </w:p>
        </w:tc>
        <w:tc>
          <w:tcPr>
            <w:tcW w:w="1958"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重庆国际光影文化旅游节展览策划</w:t>
            </w:r>
          </w:p>
        </w:tc>
        <w:tc>
          <w:tcPr>
            <w:tcW w:w="193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包含展览策划、作品点位策划、赛事策划、宣发策划等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1.3</w:t>
            </w:r>
          </w:p>
        </w:tc>
        <w:tc>
          <w:tcPr>
            <w:tcW w:w="1958"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 xml:space="preserve"> 重庆国际光影文化旅游节系列活动策划</w:t>
            </w:r>
          </w:p>
        </w:tc>
        <w:tc>
          <w:tcPr>
            <w:tcW w:w="193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包含评审会议、颁奖典礼、开幕式、启幕活动、研讨会等系列活动策划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嘉宾邀请</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2.1</w:t>
            </w:r>
          </w:p>
        </w:tc>
        <w:tc>
          <w:tcPr>
            <w:tcW w:w="1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嘉宾邀约</w:t>
            </w:r>
          </w:p>
        </w:tc>
        <w:tc>
          <w:tcPr>
            <w:tcW w:w="19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联系并邀请国际灯光节主办方、行业专家、艺术院校代表参与2026年重庆之夜·国际光影文化旅游节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2.2</w:t>
            </w:r>
          </w:p>
        </w:tc>
        <w:tc>
          <w:tcPr>
            <w:tcW w:w="1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沟通对接</w:t>
            </w:r>
          </w:p>
        </w:tc>
        <w:tc>
          <w:tcPr>
            <w:tcW w:w="19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确定相关出席人员行程安排、内容及流程对接协调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物料设计及制作</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3.1</w:t>
            </w:r>
          </w:p>
        </w:tc>
        <w:tc>
          <w:tcPr>
            <w:tcW w:w="1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主视觉设计</w:t>
            </w:r>
          </w:p>
        </w:tc>
        <w:tc>
          <w:tcPr>
            <w:tcW w:w="19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2026光影文化旅游节主视觉设计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3.2</w:t>
            </w:r>
          </w:p>
        </w:tc>
        <w:tc>
          <w:tcPr>
            <w:tcW w:w="1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衍生物料设计</w:t>
            </w:r>
          </w:p>
        </w:tc>
        <w:tc>
          <w:tcPr>
            <w:tcW w:w="19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海报、展册、邀请函等相关物料设计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3.3</w:t>
            </w:r>
          </w:p>
        </w:tc>
        <w:tc>
          <w:tcPr>
            <w:tcW w:w="1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奖杯及证书设计制作</w:t>
            </w:r>
          </w:p>
        </w:tc>
        <w:tc>
          <w:tcPr>
            <w:tcW w:w="19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所有参赛参展艺术家证书，及获奖者奖杯设计与制作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3.4</w:t>
            </w:r>
          </w:p>
        </w:tc>
        <w:tc>
          <w:tcPr>
            <w:tcW w:w="19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礼品设计制作</w:t>
            </w:r>
          </w:p>
        </w:tc>
        <w:tc>
          <w:tcPr>
            <w:tcW w:w="19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包含水杯、雨伞、明信片、帆布包、衣服、3D打印小模型等各类纪念品</w:t>
            </w:r>
          </w:p>
        </w:tc>
      </w:tr>
    </w:tbl>
    <w:p>
      <w:pPr>
        <w:pStyle w:val="50"/>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方正仿宋_GBK" w:hAnsi="方正仿宋_GBK" w:eastAsia="方正仿宋_GBK" w:cs="方正仿宋_GBK"/>
          <w:b w:val="0"/>
          <w:bCs/>
          <w:sz w:val="28"/>
          <w:szCs w:val="28"/>
        </w:rPr>
      </w:pPr>
      <w:r>
        <w:rPr>
          <w:rFonts w:hint="eastAsia" w:ascii="方正仿宋_GBK" w:hAnsi="方正仿宋_GBK" w:eastAsia="方正仿宋_GBK" w:cs="方正仿宋_GBK"/>
          <w:b w:val="0"/>
          <w:bCs/>
          <w:sz w:val="28"/>
          <w:szCs w:val="28"/>
          <w:lang w:val="en-US" w:eastAsia="zh-CN"/>
        </w:rPr>
        <w:t>2026年重庆之夜·国际光影文化旅游季光影作品内容要求</w:t>
      </w:r>
    </w:p>
    <w:tbl>
      <w:tblPr>
        <w:tblStyle w:val="55"/>
        <w:tblW w:w="50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1905"/>
        <w:gridCol w:w="5809"/>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序号</w:t>
            </w:r>
          </w:p>
        </w:tc>
        <w:tc>
          <w:tcPr>
            <w:tcW w:w="963"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项目地点</w:t>
            </w:r>
          </w:p>
        </w:tc>
        <w:tc>
          <w:tcPr>
            <w:tcW w:w="2937"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邀约作品简介</w:t>
            </w:r>
          </w:p>
        </w:tc>
        <w:tc>
          <w:tcPr>
            <w:tcW w:w="898"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邀约团队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trPr>
        <w:tc>
          <w:tcPr>
            <w:tcW w:w="200"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1</w:t>
            </w:r>
          </w:p>
        </w:tc>
        <w:tc>
          <w:tcPr>
            <w:tcW w:w="96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717632" behindDoc="0" locked="0" layoutInCell="1" allowOverlap="1">
                  <wp:simplePos x="0" y="0"/>
                  <wp:positionH relativeFrom="column">
                    <wp:posOffset>2540</wp:posOffset>
                  </wp:positionH>
                  <wp:positionV relativeFrom="paragraph">
                    <wp:posOffset>-1905</wp:posOffset>
                  </wp:positionV>
                  <wp:extent cx="1398270" cy="1165225"/>
                  <wp:effectExtent l="0" t="0" r="11430" b="15875"/>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5"/>
                          <a:stretch>
                            <a:fillRect/>
                          </a:stretch>
                        </pic:blipFill>
                        <pic:spPr>
                          <a:xfrm>
                            <a:off x="0" y="0"/>
                            <a:ext cx="1398270" cy="1165225"/>
                          </a:xfrm>
                          <a:prstGeom prst="rect">
                            <a:avLst/>
                          </a:prstGeom>
                          <a:noFill/>
                          <a:ln>
                            <a:noFill/>
                          </a:ln>
                        </pic:spPr>
                      </pic:pic>
                    </a:graphicData>
                  </a:graphic>
                </wp:anchor>
              </w:drawing>
            </w:r>
          </w:p>
        </w:tc>
        <w:tc>
          <w:tcPr>
            <w:tcW w:w="2937"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小小创造者</w:t>
            </w: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是一群特殊的存在，只要有新的世界需要被建造，它们便会出现。它们通过</w:t>
            </w:r>
            <w:r>
              <w:rPr>
                <w:rFonts w:hint="eastAsia" w:ascii="方正仿宋_GB2312" w:hAnsi="方正仿宋_GB2312" w:eastAsia="方正仿宋_GB2312" w:cs="方正仿宋_GB2312"/>
                <w:sz w:val="18"/>
                <w:szCs w:val="18"/>
                <w:highlight w:val="none"/>
                <w:vertAlign w:val="baseline"/>
                <w:lang w:eastAsia="zh-CN"/>
              </w:rPr>
              <w:t>由</w:t>
            </w:r>
            <w:r>
              <w:rPr>
                <w:rFonts w:hint="eastAsia" w:ascii="方正仿宋_GB2312" w:hAnsi="方正仿宋_GB2312" w:eastAsia="方正仿宋_GB2312" w:cs="方正仿宋_GB2312"/>
                <w:sz w:val="18"/>
                <w:szCs w:val="18"/>
                <w:highlight w:val="none"/>
                <w:vertAlign w:val="baseline"/>
              </w:rPr>
              <w:t>天空坠落的粒子所开启的传送之门穿越而来。无论走到哪里，它们都会为原本空无一物的空间注入生命，让“无”被塑造成“有”。当它们完成使命，便悄然离开，继续前往下一个等待被创造的地方。</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ascii="Calibri" w:hAnsi="Calibri" w:eastAsia="方正仿宋_GBK" w:cs="Times New Roman"/>
                <w:kern w:val="2"/>
                <w:sz w:val="18"/>
                <w:szCs w:val="18"/>
                <w:highlight w:val="none"/>
                <w:vertAlign w:val="baseline"/>
                <w:lang w:val="en-US" w:eastAsia="zh-CN" w:bidi="ar-SA"/>
              </w:rPr>
            </w:pPr>
            <w:r>
              <w:rPr>
                <w:rFonts w:hint="eastAsia" w:ascii="Calibri" w:hAnsi="Calibri" w:eastAsia="方正仿宋_GBK" w:cs="Times New Roman"/>
                <w:kern w:val="2"/>
                <w:sz w:val="18"/>
                <w:szCs w:val="18"/>
                <w:highlight w:val="none"/>
                <w:vertAlign w:val="baseline"/>
                <w:lang w:val="en-US" w:eastAsia="zh-CN" w:bidi="ar-SA"/>
              </w:rPr>
              <w:t>Maxin10sity</w:t>
            </w:r>
            <w:r>
              <w:rPr>
                <w:rFonts w:hint="eastAsia" w:cs="Times New Roman"/>
                <w:kern w:val="2"/>
                <w:sz w:val="18"/>
                <w:szCs w:val="18"/>
                <w:highlight w:val="none"/>
                <w:vertAlign w:val="baseline"/>
                <w:lang w:val="en-US" w:eastAsia="zh-CN" w:bidi="ar-SA"/>
              </w:rPr>
              <w:t>（匈牙利）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2</w:t>
            </w:r>
          </w:p>
        </w:tc>
        <w:tc>
          <w:tcPr>
            <w:tcW w:w="96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718656" behindDoc="0" locked="0" layoutInCell="1" allowOverlap="1">
                  <wp:simplePos x="0" y="0"/>
                  <wp:positionH relativeFrom="column">
                    <wp:posOffset>0</wp:posOffset>
                  </wp:positionH>
                  <wp:positionV relativeFrom="paragraph">
                    <wp:posOffset>-640080</wp:posOffset>
                  </wp:positionV>
                  <wp:extent cx="1402080" cy="755015"/>
                  <wp:effectExtent l="0" t="0" r="7620" b="6985"/>
                  <wp:wrapTopAndBottom/>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16"/>
                          <a:stretch>
                            <a:fillRect/>
                          </a:stretch>
                        </pic:blipFill>
                        <pic:spPr>
                          <a:xfrm>
                            <a:off x="0" y="0"/>
                            <a:ext cx="1402080" cy="755015"/>
                          </a:xfrm>
                          <a:prstGeom prst="rect">
                            <a:avLst/>
                          </a:prstGeom>
                          <a:noFill/>
                          <a:ln>
                            <a:noFill/>
                          </a:ln>
                        </pic:spPr>
                      </pic:pic>
                    </a:graphicData>
                  </a:graphic>
                </wp:anchor>
              </w:drawing>
            </w:r>
          </w:p>
        </w:tc>
        <w:tc>
          <w:tcPr>
            <w:tcW w:w="2937"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sz w:val="18"/>
                <w:szCs w:val="18"/>
                <w:highlight w:val="none"/>
                <w:vertAlign w:val="baseline"/>
                <w:lang w:eastAsia="zh-CN"/>
              </w:rPr>
            </w:pPr>
            <w:r>
              <w:rPr>
                <w:rFonts w:hint="eastAsia" w:ascii="方正仿宋_GB2312" w:hAnsi="方正仿宋_GB2312" w:eastAsia="方正仿宋_GB2312" w:cs="方正仿宋_GB2312"/>
                <w:sz w:val="18"/>
                <w:szCs w:val="18"/>
                <w:highlight w:val="none"/>
                <w:vertAlign w:val="baseline"/>
              </w:rPr>
              <w:t>本作品以“可爱海底童话王国”为主题，将整座建筑化作一片会呼吸的梦幻深海。五彩珊瑚在墙面生长，水母如小灯笼般缓缓漂浮，小鱼成群穿梭，海马、章鱼与贝壳精灵轮番登场，组成一个充满童趣的水下世界。画面节奏轻快明亮，色彩柔软通透，像一本被翻开的立体童话书。孩子们可以在光影中“潜入”海底，与这些可爱的海洋伙伴互动、追逐与游戏。作品以温柔的方式讲述勇气、友谊与探索的故事，让观众在轻松愉悦的氛围中，找回对自然与想象力最纯真的向往</w:t>
            </w:r>
            <w:r>
              <w:rPr>
                <w:rFonts w:hint="eastAsia" w:ascii="方正仿宋_GB2312" w:hAnsi="方正仿宋_GB2312" w:eastAsia="方正仿宋_GB2312" w:cs="方正仿宋_GB2312"/>
                <w:sz w:val="18"/>
                <w:szCs w:val="18"/>
                <w:highlight w:val="none"/>
                <w:vertAlign w:val="baseline"/>
                <w:lang w:eastAsia="zh-CN"/>
              </w:rPr>
              <w:t>。</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AVA Animation &amp; Visual Arts（墨西哥）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3</w:t>
            </w:r>
          </w:p>
        </w:tc>
        <w:tc>
          <w:tcPr>
            <w:tcW w:w="96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719680" behindDoc="0" locked="0" layoutInCell="1" allowOverlap="1">
                  <wp:simplePos x="0" y="0"/>
                  <wp:positionH relativeFrom="column">
                    <wp:posOffset>0</wp:posOffset>
                  </wp:positionH>
                  <wp:positionV relativeFrom="paragraph">
                    <wp:posOffset>-621030</wp:posOffset>
                  </wp:positionV>
                  <wp:extent cx="1395095" cy="725805"/>
                  <wp:effectExtent l="0" t="0" r="14605" b="17145"/>
                  <wp:wrapTopAndBottom/>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7"/>
                          <a:stretch>
                            <a:fillRect/>
                          </a:stretch>
                        </pic:blipFill>
                        <pic:spPr>
                          <a:xfrm>
                            <a:off x="0" y="0"/>
                            <a:ext cx="1395095" cy="725805"/>
                          </a:xfrm>
                          <a:prstGeom prst="rect">
                            <a:avLst/>
                          </a:prstGeom>
                          <a:noFill/>
                          <a:ln>
                            <a:noFill/>
                          </a:ln>
                        </pic:spPr>
                      </pic:pic>
                    </a:graphicData>
                  </a:graphic>
                </wp:anchor>
              </w:drawing>
            </w:r>
          </w:p>
        </w:tc>
        <w:tc>
          <w:tcPr>
            <w:tcW w:w="2937"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rPr>
              <w:t>作品以印尼传统儿童童话为灵感，将古老传说中的森林、海洋、神鸟与精灵搬上建筑立面。画面采用明亮而富有热带气息的色彩，伴随轻快的音乐节奏展开，一段段关于勇气、善良与成长的故事在光影中流动。主人公在奇幻世界中不断遇见困难，又在伙伴的帮助下学会分享与坚持。作品通过温柔、童趣的视觉</w:t>
            </w:r>
            <w:r>
              <w:rPr>
                <w:rFonts w:hint="eastAsia" w:ascii="方正仿宋_GB2312" w:hAnsi="方正仿宋_GB2312" w:eastAsia="方正仿宋_GB2312" w:cs="方正仿宋_GB2312"/>
                <w:sz w:val="18"/>
                <w:szCs w:val="18"/>
                <w:highlight w:val="none"/>
                <w:vertAlign w:val="baseline"/>
                <w:lang w:eastAsia="zh-CN"/>
              </w:rPr>
              <w:t>形式</w:t>
            </w:r>
            <w:r>
              <w:rPr>
                <w:rFonts w:hint="eastAsia" w:ascii="方正仿宋_GB2312" w:hAnsi="方正仿宋_GB2312" w:eastAsia="方正仿宋_GB2312" w:cs="方正仿宋_GB2312"/>
                <w:sz w:val="18"/>
                <w:szCs w:val="18"/>
                <w:highlight w:val="none"/>
                <w:vertAlign w:val="baseline"/>
              </w:rPr>
              <w:t>，让孩子</w:t>
            </w:r>
            <w:r>
              <w:rPr>
                <w:rFonts w:hint="eastAsia" w:ascii="方正仿宋_GB2312" w:hAnsi="方正仿宋_GB2312" w:eastAsia="方正仿宋_GB2312" w:cs="方正仿宋_GB2312"/>
                <w:sz w:val="18"/>
                <w:szCs w:val="18"/>
                <w:highlight w:val="none"/>
                <w:vertAlign w:val="baseline"/>
                <w:lang w:eastAsia="zh-CN"/>
              </w:rPr>
              <w:t>们在</w:t>
            </w:r>
            <w:r>
              <w:rPr>
                <w:rFonts w:hint="eastAsia" w:ascii="方正仿宋_GB2312" w:hAnsi="方正仿宋_GB2312" w:eastAsia="方正仿宋_GB2312" w:cs="方正仿宋_GB2312"/>
                <w:sz w:val="18"/>
                <w:szCs w:val="18"/>
                <w:highlight w:val="none"/>
                <w:vertAlign w:val="baseline"/>
              </w:rPr>
              <w:t>沉浸体验中感受异域文化的魅力，也在故事的起伏中理解友谊、信任与希望的意义。</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The Fox the Folks（印度尼西亚）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4" w:hRule="atLeast"/>
        </w:trPr>
        <w:tc>
          <w:tcPr>
            <w:tcW w:w="200"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4</w:t>
            </w:r>
          </w:p>
        </w:tc>
        <w:tc>
          <w:tcPr>
            <w:tcW w:w="96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eastAsiaTheme="minorEastAsia"/>
                <w:sz w:val="18"/>
                <w:szCs w:val="18"/>
                <w:highlight w:val="none"/>
                <w:vertAlign w:val="baseline"/>
                <w:lang w:eastAsia="zh-CN"/>
              </w:rPr>
            </w:pPr>
            <w:r>
              <w:rPr>
                <w:rFonts w:hint="eastAsia" w:eastAsiaTheme="minorEastAsia"/>
                <w:sz w:val="18"/>
                <w:szCs w:val="18"/>
                <w:highlight w:val="none"/>
                <w:vertAlign w:val="baseline"/>
                <w:lang w:eastAsia="zh-CN"/>
              </w:rPr>
              <w:drawing>
                <wp:anchor distT="0" distB="0" distL="114300" distR="114300" simplePos="0" relativeHeight="251720704" behindDoc="0" locked="0" layoutInCell="1" allowOverlap="1">
                  <wp:simplePos x="0" y="0"/>
                  <wp:positionH relativeFrom="column">
                    <wp:posOffset>0</wp:posOffset>
                  </wp:positionH>
                  <wp:positionV relativeFrom="paragraph">
                    <wp:posOffset>-1135380</wp:posOffset>
                  </wp:positionV>
                  <wp:extent cx="1393825" cy="1238885"/>
                  <wp:effectExtent l="0" t="0" r="15875" b="18415"/>
                  <wp:wrapTopAndBottom/>
                  <wp:docPr id="57" name="图片 57" descr="L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LED MODEL"/>
                          <pic:cNvPicPr>
                            <a:picLocks noChangeAspect="1"/>
                          </pic:cNvPicPr>
                        </pic:nvPicPr>
                        <pic:blipFill>
                          <a:blip r:embed="rId18"/>
                          <a:stretch>
                            <a:fillRect/>
                          </a:stretch>
                        </pic:blipFill>
                        <pic:spPr>
                          <a:xfrm>
                            <a:off x="0" y="0"/>
                            <a:ext cx="1393825" cy="1238885"/>
                          </a:xfrm>
                          <a:prstGeom prst="rect">
                            <a:avLst/>
                          </a:prstGeom>
                        </pic:spPr>
                      </pic:pic>
                    </a:graphicData>
                  </a:graphic>
                </wp:anchor>
              </w:drawing>
            </w:r>
          </w:p>
        </w:tc>
        <w:tc>
          <w:tcPr>
            <w:tcW w:w="2937"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rPr>
              <w:t>作品以黑白线条构建纯粹的抽象空间，将数学逻辑转化为可感知的视觉秩序。直线、曲线、网格与旋转在画面中不断推演，形成类似公式演算般的节奏变化。线条的生长、叠加与断裂，既遵循精密的比例关系，又在微小偏移中释放不确定性。作品试图以最克制的色彩与最理性的结构，探讨“规律”与“偏差”之间的张力，让观众在冷静的数学美感中，感受到秩序背后潜藏的情绪脉动与能量流动。</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Restungsschmie.de（德国）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5</w:t>
            </w:r>
          </w:p>
        </w:tc>
        <w:tc>
          <w:tcPr>
            <w:tcW w:w="963"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721728" behindDoc="0" locked="0" layoutInCell="1" allowOverlap="1">
                  <wp:simplePos x="0" y="0"/>
                  <wp:positionH relativeFrom="column">
                    <wp:posOffset>0</wp:posOffset>
                  </wp:positionH>
                  <wp:positionV relativeFrom="paragraph">
                    <wp:posOffset>-678180</wp:posOffset>
                  </wp:positionV>
                  <wp:extent cx="1330960" cy="789940"/>
                  <wp:effectExtent l="0" t="0" r="2540" b="10160"/>
                  <wp:wrapTopAndBottom/>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9"/>
                          <a:stretch>
                            <a:fillRect/>
                          </a:stretch>
                        </pic:blipFill>
                        <pic:spPr>
                          <a:xfrm>
                            <a:off x="0" y="0"/>
                            <a:ext cx="1330960" cy="789940"/>
                          </a:xfrm>
                          <a:prstGeom prst="rect">
                            <a:avLst/>
                          </a:prstGeom>
                          <a:noFill/>
                          <a:ln>
                            <a:noFill/>
                          </a:ln>
                        </pic:spPr>
                      </pic:pic>
                    </a:graphicData>
                  </a:graphic>
                </wp:anchor>
              </w:drawing>
            </w:r>
          </w:p>
        </w:tc>
        <w:tc>
          <w:tcPr>
            <w:tcW w:w="2937"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rPr>
              <w:t>《Aeon》唤起塑造史前世界的原初能量，那是地球仍处于持续变化中</w:t>
            </w: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生命以最本能形态诞生的时代。作品并非再现具体的远古景象，而是指向深藏于地球最深层的古老节律</w:t>
            </w: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曾推动早期生命扩展与原初景观繁盛的能量脉动。它在混沌与秩序之间游走，揭示万物由物成生的本能驱动力，展现生长、演化与消亡本为同一循环。通过抽象而有机的视觉语言，Aeon 让人重新连接地球的深层记忆，将起源视为持续生成的状态，而非遥远的过去。</w:t>
            </w:r>
          </w:p>
        </w:tc>
        <w:tc>
          <w:tcPr>
            <w:tcW w:w="898"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VPM（西班牙）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sz w:val="18"/>
                <w:szCs w:val="18"/>
                <w:highlight w:val="none"/>
                <w:vertAlign w:val="baseline"/>
                <w:lang w:val="en-US" w:eastAsia="zh-CN"/>
              </w:rPr>
              <w:t>6</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highlight w:val="none"/>
              </w:rPr>
              <w:drawing>
                <wp:anchor distT="0" distB="0" distL="114300" distR="114300" simplePos="0" relativeHeight="251722752" behindDoc="0" locked="0" layoutInCell="1" allowOverlap="1">
                  <wp:simplePos x="0" y="0"/>
                  <wp:positionH relativeFrom="column">
                    <wp:posOffset>0</wp:posOffset>
                  </wp:positionH>
                  <wp:positionV relativeFrom="paragraph">
                    <wp:posOffset>-544830</wp:posOffset>
                  </wp:positionV>
                  <wp:extent cx="1337310" cy="648335"/>
                  <wp:effectExtent l="0" t="0" r="15240" b="18415"/>
                  <wp:wrapTopAndBottom/>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20"/>
                          <a:stretch>
                            <a:fillRect/>
                          </a:stretch>
                        </pic:blipFill>
                        <pic:spPr>
                          <a:xfrm>
                            <a:off x="0" y="0"/>
                            <a:ext cx="1337310" cy="64833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sz w:val="18"/>
                <w:szCs w:val="18"/>
                <w:highlight w:val="none"/>
                <w:vertAlign w:val="baseline"/>
                <w:lang w:val="en-US" w:eastAsia="zh-CN"/>
              </w:rPr>
            </w:pPr>
            <w:r>
              <w:rPr>
                <w:rFonts w:hint="eastAsia" w:ascii="方正仿宋_GB2312" w:hAnsi="方正仿宋_GB2312" w:eastAsia="方正仿宋_GB2312" w:cs="方正仿宋_GB2312"/>
                <w:sz w:val="18"/>
                <w:szCs w:val="18"/>
                <w:highlight w:val="none"/>
                <w:vertAlign w:val="baseline"/>
              </w:rPr>
              <w:t>本作源于“现实隧道”理论，探讨个体如何在潜意识滤镜中感知世界。装置以45组可编程LED光条与同步环绕声构建地下光影结构，让声音与光在空间中流动共振。作品诞生于一处被唤醒的废弃地下空间，将被遗忘的城市结构转化为沉浸式感知现场，引导观众进入一段关于意识、感官与现实的内在旅程</w:t>
            </w:r>
            <w:r>
              <w:rPr>
                <w:rFonts w:hint="eastAsia" w:ascii="方正仿宋_GB2312" w:hAnsi="方正仿宋_GB2312" w:eastAsia="方正仿宋_GB2312" w:cs="方正仿宋_GB2312"/>
                <w:sz w:val="18"/>
                <w:szCs w:val="18"/>
                <w:highlight w:val="none"/>
                <w:vertAlign w:val="baseline"/>
                <w:lang w:eastAsia="zh-CN"/>
              </w:rPr>
              <w:t>。</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Formate（俄罗斯）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sz w:val="18"/>
                <w:szCs w:val="18"/>
                <w:highlight w:val="none"/>
                <w:vertAlign w:val="baseline"/>
                <w:lang w:val="en-US" w:eastAsia="zh-CN"/>
              </w:rPr>
              <w:t>7</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23776" behindDoc="0" locked="0" layoutInCell="1" allowOverlap="1">
                  <wp:simplePos x="0" y="0"/>
                  <wp:positionH relativeFrom="column">
                    <wp:posOffset>0</wp:posOffset>
                  </wp:positionH>
                  <wp:positionV relativeFrom="paragraph">
                    <wp:posOffset>-1059180</wp:posOffset>
                  </wp:positionV>
                  <wp:extent cx="1398270" cy="1165225"/>
                  <wp:effectExtent l="0" t="0" r="11430" b="15875"/>
                  <wp:wrapTopAndBottom/>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5"/>
                          <a:stretch>
                            <a:fillRect/>
                          </a:stretch>
                        </pic:blipFill>
                        <pic:spPr>
                          <a:xfrm>
                            <a:off x="0" y="0"/>
                            <a:ext cx="1398270" cy="116522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《几木园》MAPPING 作品设置在重庆儿童公园一隅的一座小巧建筑之上，以色彩与光影为画笔，将整面立面化作一部流动的“艺术发展史”。画面从最初的原始涂鸦、图腾符号出发，延展至古典绘画的结构秩序，再到现代主义的解构与重组，最终迈向数字时代的像素、代码与虚拟影像。不同历史阶段的艺术风格在建筑表面不断交替、叠加、演化，像时间被折叠进空间。作品以轻快、通透的方式，将人类艺术千年的探索浓缩为一场适合孩子与家庭共同观看的光影旅程，让艺术史变得可感、可亲，也充满想象力。</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林岭楠（中国）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8</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24800" behindDoc="0" locked="0" layoutInCell="1" allowOverlap="1">
                  <wp:simplePos x="0" y="0"/>
                  <wp:positionH relativeFrom="column">
                    <wp:posOffset>0</wp:posOffset>
                  </wp:positionH>
                  <wp:positionV relativeFrom="paragraph">
                    <wp:posOffset>-640080</wp:posOffset>
                  </wp:positionV>
                  <wp:extent cx="1402080" cy="755015"/>
                  <wp:effectExtent l="0" t="0" r="7620" b="6985"/>
                  <wp:wrapTopAndBottom/>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6"/>
                          <a:stretch>
                            <a:fillRect/>
                          </a:stretch>
                        </pic:blipFill>
                        <pic:spPr>
                          <a:xfrm>
                            <a:off x="0" y="0"/>
                            <a:ext cx="1402080" cy="75501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锦上万象》以中国传统丝绸纹样为灵感，比如来自蜀锦、宋锦、侗族织锦等，将千年织造的纹理、色彩与寓意，用MAPPING的方式重新点亮。作品在重庆儿童公园的小小建筑上展开，如同一幅会呼吸的织锦从墙面慢慢铺开。华丽的团花、云纹、瑞兽、羽饰在光影中层层展开，让每个观众看到传统的浪漫，也重新遇见东方纹样的深邃与温柔。它是一块流动的“锦”，把万象之美织进夜色里。</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何嘉铭（中国）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9</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25824" behindDoc="0" locked="0" layoutInCell="1" allowOverlap="1">
                  <wp:simplePos x="0" y="0"/>
                  <wp:positionH relativeFrom="column">
                    <wp:posOffset>0</wp:posOffset>
                  </wp:positionH>
                  <wp:positionV relativeFrom="paragraph">
                    <wp:posOffset>-621030</wp:posOffset>
                  </wp:positionV>
                  <wp:extent cx="1395095" cy="725805"/>
                  <wp:effectExtent l="0" t="0" r="14605" b="17145"/>
                  <wp:wrapTopAndBottom/>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17"/>
                          <a:stretch>
                            <a:fillRect/>
                          </a:stretch>
                        </pic:blipFill>
                        <pic:spPr>
                          <a:xfrm>
                            <a:off x="0" y="0"/>
                            <a:ext cx="1395095" cy="72580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滴滴答答》是一首为重庆儿童公园写的色彩序曲，把城市的节奏、儿童的想象力与时间的流动组合成一座会发光的“玩具装置”。作品以积木般的造型、跳动的色块与彩虹能量线条构成童趣世界，每一段节奏都像孩子敲出的滴答声，简单、纯粹又充满生命力。我们希望让来到公园的孩子们像进入一座巨大的梦中工厂，在光影里探索、奔跑、好奇；也让大人们重新想起，被时间遗忘的那一点点“滴滴答答”的童心。</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何琳（中国）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10</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eastAsiaTheme="minorEastAsia"/>
                <w:sz w:val="18"/>
                <w:szCs w:val="18"/>
                <w:highlight w:val="none"/>
                <w:vertAlign w:val="baseline"/>
                <w:lang w:eastAsia="zh-CN"/>
              </w:rPr>
              <w:drawing>
                <wp:anchor distT="0" distB="0" distL="114300" distR="114300" simplePos="0" relativeHeight="251726848" behindDoc="0" locked="0" layoutInCell="1" allowOverlap="1">
                  <wp:simplePos x="0" y="0"/>
                  <wp:positionH relativeFrom="column">
                    <wp:posOffset>0</wp:posOffset>
                  </wp:positionH>
                  <wp:positionV relativeFrom="paragraph">
                    <wp:posOffset>-1135380</wp:posOffset>
                  </wp:positionV>
                  <wp:extent cx="1393825" cy="1238885"/>
                  <wp:effectExtent l="0" t="0" r="15875" b="18415"/>
                  <wp:wrapTopAndBottom/>
                  <wp:docPr id="63" name="图片 63" descr="L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LED MODEL"/>
                          <pic:cNvPicPr>
                            <a:picLocks noChangeAspect="1"/>
                          </pic:cNvPicPr>
                        </pic:nvPicPr>
                        <pic:blipFill>
                          <a:blip r:embed="rId18"/>
                          <a:stretch>
                            <a:fillRect/>
                          </a:stretch>
                        </pic:blipFill>
                        <pic:spPr>
                          <a:xfrm>
                            <a:off x="0" y="0"/>
                            <a:ext cx="1393825" cy="1238885"/>
                          </a:xfrm>
                          <a:prstGeom prst="rect">
                            <a:avLst/>
                          </a:prstGeom>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这部作品以重庆独特的山地肌理与江水气象为灵感，以蒸汽朋克的工业质感重新解读城市的能量与脉动。作品将火锅、脸谱、雾气、钢铁、机械、山城坡道等在地元素融入一条狂野的视觉旅程，让传统山水意象在高压蒸汽与机械动力中焕发新生命。整体风格受到《疯狂的麦克斯》启发，带有末世张力与粗粝美学，却依然保留重庆山水的磅礴与灵魂。它既是对山城现实的再造，也是对未来山水的一次想象。</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朱俊杰（中国）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11</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715584" behindDoc="1" locked="0" layoutInCell="1" allowOverlap="1">
                  <wp:simplePos x="0" y="0"/>
                  <wp:positionH relativeFrom="column">
                    <wp:posOffset>-32385</wp:posOffset>
                  </wp:positionH>
                  <wp:positionV relativeFrom="paragraph">
                    <wp:posOffset>342900</wp:posOffset>
                  </wp:positionV>
                  <wp:extent cx="1437640" cy="853440"/>
                  <wp:effectExtent l="0" t="0" r="10160" b="3810"/>
                  <wp:wrapTight wrapText="bothSides">
                    <wp:wrapPolygon>
                      <wp:start x="0" y="0"/>
                      <wp:lineTo x="0" y="21214"/>
                      <wp:lineTo x="21180" y="21214"/>
                      <wp:lineTo x="21180" y="0"/>
                      <wp:lineTo x="0" y="0"/>
                    </wp:wrapPolygon>
                  </wp:wrapTight>
                  <wp:docPr id="64" name="图片 64" descr="0e4a8652567feae527dc027797c3b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e4a8652567feae527dc027797c3b847"/>
                          <pic:cNvPicPr>
                            <a:picLocks noChangeAspect="1"/>
                          </pic:cNvPicPr>
                        </pic:nvPicPr>
                        <pic:blipFill>
                          <a:blip r:embed="rId21"/>
                          <a:stretch>
                            <a:fillRect/>
                          </a:stretch>
                        </pic:blipFill>
                        <pic:spPr>
                          <a:xfrm>
                            <a:off x="0" y="0"/>
                            <a:ext cx="1437640" cy="853440"/>
                          </a:xfrm>
                          <a:prstGeom prst="rect">
                            <a:avLst/>
                          </a:prstGeom>
                        </pic:spPr>
                      </pic:pic>
                    </a:graphicData>
                  </a:graphic>
                </wp:anchor>
              </w:drawing>
            </w:r>
            <w:r>
              <w:rPr>
                <w:rFonts w:hint="eastAsia"/>
                <w:sz w:val="18"/>
                <w:szCs w:val="18"/>
                <w:highlight w:val="none"/>
                <w:vertAlign w:val="baseline"/>
                <w:lang w:val="en-US" w:eastAsia="zh-CN"/>
              </w:rPr>
              <w:t>室外纱幕</w:t>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来到世界的第一年》以孩子的视角展开叙事。孩子眼中的世界没有边界，他们相信风会歌唱、光能呼吸、树木会低语，连尘埃也闪烁着生命的光。作品试图还原这种最纯粹的感知状态，用柔和的色彩与流动的节奏去描绘自然的脉动与生命的节律。光与影在画面中不断交织、呼吸、伸展，如同心跳的频率，带领观者进入一个既真实又梦幻的时空。每一束光都像是一种情感的触须，轻轻连接起观者与世界的温度。我们希望观众在这段光影旅程中，能暂时放下成人世界的理性，重新感受那份久违的惊奇与温柔，找回与自然、与生命、与爱之间最原初的共鸣。</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王奋（中国）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12</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27872" behindDoc="0" locked="0" layoutInCell="1" allowOverlap="1">
                  <wp:simplePos x="0" y="0"/>
                  <wp:positionH relativeFrom="column">
                    <wp:posOffset>0</wp:posOffset>
                  </wp:positionH>
                  <wp:positionV relativeFrom="paragraph">
                    <wp:posOffset>-678180</wp:posOffset>
                  </wp:positionV>
                  <wp:extent cx="1327785" cy="781685"/>
                  <wp:effectExtent l="0" t="0" r="5715" b="18415"/>
                  <wp:wrapTopAndBottom/>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22"/>
                          <a:stretch>
                            <a:fillRect/>
                          </a:stretch>
                        </pic:blipFill>
                        <pic:spPr>
                          <a:xfrm>
                            <a:off x="0" y="0"/>
                            <a:ext cx="1327785" cy="78168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这部作品通过多个富有层次的段落，带领观众跟随飞船前往外星球，探索一个全新的异世界文明。故事从飞船的降落开始，逐渐引导观众进入这个充满奇幻色彩的外星环境，见证了异世界的生命与文明从诞生到进化的过程。每一段动画都通过精致的设计，展现了这个文明在时间与空间中不断变化与发展的脆弱与坚韧。从海洋中的奇异生物，到冰封的严冬，再到暴风雨的肆虐，生命在困境中顽强演化。随着文明达到顶峰，生命形式逐渐蜕变，最终回归到飞船的起点，象征着一个文明的轮回。</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作品的设计理念围绕“探索与启发”展开，通过细腻的视觉表现与动感的粒子、光影效果，带领观众感知并思考外星文明的无常与美丽。通过对这个异世界文明的了解，触发了对生命、进化和存在的深刻思考，观众不禁反思人类文明与自然的关系。最终，所有的探索归于平静，飞船再次升空，留给观众的是对未知世界的敬畏与对生命短暂瞬间的珍惜。</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龙冠峰（中国）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13</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714560" behindDoc="0" locked="0" layoutInCell="1" allowOverlap="1">
                  <wp:simplePos x="0" y="0"/>
                  <wp:positionH relativeFrom="column">
                    <wp:posOffset>-32385</wp:posOffset>
                  </wp:positionH>
                  <wp:positionV relativeFrom="paragraph">
                    <wp:posOffset>279400</wp:posOffset>
                  </wp:positionV>
                  <wp:extent cx="1436370" cy="777875"/>
                  <wp:effectExtent l="0" t="0" r="11430" b="3175"/>
                  <wp:wrapTopAndBottom/>
                  <wp:docPr id="66" name="图片 66" descr="da9864dcb80f6eec50e5f8f3d8139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a9864dcb80f6eec50e5f8f3d81391f3"/>
                          <pic:cNvPicPr>
                            <a:picLocks noChangeAspect="1"/>
                          </pic:cNvPicPr>
                        </pic:nvPicPr>
                        <pic:blipFill>
                          <a:blip r:embed="rId23"/>
                          <a:stretch>
                            <a:fillRect/>
                          </a:stretch>
                        </pic:blipFill>
                        <pic:spPr>
                          <a:xfrm>
                            <a:off x="0" y="0"/>
                            <a:ext cx="1436370" cy="777875"/>
                          </a:xfrm>
                          <a:prstGeom prst="rect">
                            <a:avLst/>
                          </a:prstGeom>
                        </pic:spPr>
                      </pic:pic>
                    </a:graphicData>
                  </a:graphic>
                </wp:anchor>
              </w:drawing>
            </w:r>
            <w:r>
              <w:rPr>
                <w:rFonts w:hint="eastAsia"/>
                <w:sz w:val="18"/>
                <w:szCs w:val="18"/>
                <w:highlight w:val="none"/>
                <w:vertAlign w:val="baseline"/>
                <w:lang w:val="en-US" w:eastAsia="zh-CN"/>
              </w:rPr>
              <w:t>室内纱幕</w:t>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本次作品以纱幕为主要载体，画面语言极简克制，强调线条、光影与节奏的纯粹关系，呈现出具有现代感的视觉气质。影像不再承担叙事功能，而是作为一种“呼吸中的空间”，与舞蹈演员的即兴身体动作形成实时对话。舞者的每一次伸展、回旋与停顿，都会被纱幕上的光影放大、回应与延展，仿佛生命在虚实之间彼此牵引。作品试图从最本质的层面出发，探讨生命的流动、感知与存在状态，让观众在极简与留白中，重新感受身体、时间与生命本身的微妙关联。</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周强（中国）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14</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sz w:val="18"/>
                <w:szCs w:val="18"/>
                <w:highlight w:val="none"/>
                <w:vertAlign w:val="baseline"/>
                <w:lang w:val="en-US" w:eastAsia="zh-CN"/>
              </w:rPr>
            </w:pPr>
            <w:r>
              <w:rPr>
                <w:highlight w:val="none"/>
              </w:rPr>
              <w:drawing>
                <wp:anchor distT="0" distB="0" distL="114300" distR="114300" simplePos="0" relativeHeight="251728896" behindDoc="0" locked="0" layoutInCell="1" allowOverlap="1">
                  <wp:simplePos x="0" y="0"/>
                  <wp:positionH relativeFrom="column">
                    <wp:posOffset>-60960</wp:posOffset>
                  </wp:positionH>
                  <wp:positionV relativeFrom="paragraph">
                    <wp:posOffset>652145</wp:posOffset>
                  </wp:positionV>
                  <wp:extent cx="1335405" cy="710565"/>
                  <wp:effectExtent l="0" t="0" r="17145" b="13335"/>
                  <wp:wrapTopAndBottom/>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24"/>
                          <a:stretch>
                            <a:fillRect/>
                          </a:stretch>
                        </pic:blipFill>
                        <pic:spPr>
                          <a:xfrm>
                            <a:off x="0" y="0"/>
                            <a:ext cx="1335405" cy="71056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在数据洪流与信息共振的时代，我们所处的现实早已不止于物理世界，而是一个由信号、光线、算法交织而成的全息维度。X讯号是一组基于LED影像装置的视觉实验，它并非简单的光影投射，而是一种数字秩序与混沌意识之间的对话。</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几何结构在信号流动中构建与瓦解，空间在光的折叠中不断重塑，如同信息社会的脉搏，以碎片化的节奏运行，却始终指向某种隐形的秩序。X既是未知，也是变量，是坐标轴上的不确定点，象征着科技、智能、现实与虚拟交汇的临界状态。</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这里的光不是被动的，而是主动生长的：它在数据的驱动下生成，不断演算、变化，如同意识流动，映射着数字时代的存在方式。每个瞬间都是独立的，一个信号的跃动便足以改变全局。X讯号是超越视觉表象的实验，它质问着未来的信息矩阵：当所有信号彼此连接，我们是否仍能看见真正的自己？</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王奋（中国）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15</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716608" behindDoc="1" locked="0" layoutInCell="1" allowOverlap="1">
                  <wp:simplePos x="0" y="0"/>
                  <wp:positionH relativeFrom="column">
                    <wp:posOffset>-32385</wp:posOffset>
                  </wp:positionH>
                  <wp:positionV relativeFrom="paragraph">
                    <wp:posOffset>326390</wp:posOffset>
                  </wp:positionV>
                  <wp:extent cx="1437640" cy="853440"/>
                  <wp:effectExtent l="0" t="0" r="10160" b="3810"/>
                  <wp:wrapTight wrapText="bothSides">
                    <wp:wrapPolygon>
                      <wp:start x="0" y="0"/>
                      <wp:lineTo x="0" y="21214"/>
                      <wp:lineTo x="21180" y="21214"/>
                      <wp:lineTo x="21180" y="0"/>
                      <wp:lineTo x="0" y="0"/>
                    </wp:wrapPolygon>
                  </wp:wrapTight>
                  <wp:docPr id="68" name="图片 68" descr="0e4a8652567feae527dc027797c3b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0e4a8652567feae527dc027797c3b847"/>
                          <pic:cNvPicPr>
                            <a:picLocks noChangeAspect="1"/>
                          </pic:cNvPicPr>
                        </pic:nvPicPr>
                        <pic:blipFill>
                          <a:blip r:embed="rId21"/>
                          <a:stretch>
                            <a:fillRect/>
                          </a:stretch>
                        </pic:blipFill>
                        <pic:spPr>
                          <a:xfrm>
                            <a:off x="0" y="0"/>
                            <a:ext cx="1437640" cy="853440"/>
                          </a:xfrm>
                          <a:prstGeom prst="rect">
                            <a:avLst/>
                          </a:prstGeom>
                        </pic:spPr>
                      </pic:pic>
                    </a:graphicData>
                  </a:graphic>
                </wp:anchor>
              </w:drawing>
            </w:r>
            <w:r>
              <w:rPr>
                <w:rFonts w:hint="eastAsia"/>
                <w:sz w:val="18"/>
                <w:szCs w:val="18"/>
                <w:highlight w:val="none"/>
                <w:vertAlign w:val="baseline"/>
                <w:lang w:val="en-US" w:eastAsia="zh-CN"/>
              </w:rPr>
              <w:t>室外纱幕</w:t>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作品《涟漪》构建了一个“万物皆有回响”的隐喻世界。这里的世界并非沉默的背景，而是拥有集体记忆与情感的庞大生命体，是与人类意识平行交织的另一重存在。人类与之，是持续地观察与被观察。这个世界从不被动承受，它以深不可测的智慧与耐心，对人类的一举一动做出精微的回应：每一次季候变迁、每一场生态波动，都是它无声而有力的语言。</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由此，我们试图探讨一个根源性问题，并给出我们的理解：世间没有绝对的静止，只有未被察觉的回响。从城市天际线的攀升到自然风浪的翻涌，从生命个体的悸动到文明节律的流转……波动，是万物共通的语言。这无形的纽带最终揭示：人与世界，观察者与被观察者，本就是同一张波动网络中相互映照、共同创造的共生体。</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渲艺山河（中国）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16</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heme="minorHAnsi" w:hAnsiTheme="minorHAnsi" w:eastAsiaTheme="minorEastAsia" w:cstheme="minorBidi"/>
                <w:kern w:val="2"/>
                <w:sz w:val="18"/>
                <w:szCs w:val="18"/>
                <w:vertAlign w:val="baseline"/>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729920" behindDoc="0" locked="0" layoutInCell="1" allowOverlap="1">
                  <wp:simplePos x="0" y="0"/>
                  <wp:positionH relativeFrom="column">
                    <wp:posOffset>-35560</wp:posOffset>
                  </wp:positionH>
                  <wp:positionV relativeFrom="paragraph">
                    <wp:posOffset>193040</wp:posOffset>
                  </wp:positionV>
                  <wp:extent cx="1346200" cy="1513205"/>
                  <wp:effectExtent l="0" t="0" r="6350" b="10795"/>
                  <wp:wrapTopAndBottom/>
                  <wp:docPr id="6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IMG_256"/>
                          <pic:cNvPicPr>
                            <a:picLocks noChangeAspect="1"/>
                          </pic:cNvPicPr>
                        </pic:nvPicPr>
                        <pic:blipFill>
                          <a:blip r:embed="rId25"/>
                          <a:stretch>
                            <a:fillRect/>
                          </a:stretch>
                        </pic:blipFill>
                        <pic:spPr>
                          <a:xfrm>
                            <a:off x="0" y="0"/>
                            <a:ext cx="1346200" cy="1513205"/>
                          </a:xfrm>
                          <a:prstGeom prst="rect">
                            <a:avLst/>
                          </a:prstGeom>
                          <a:noFill/>
                          <a:ln w="9525">
                            <a:noFill/>
                          </a:ln>
                        </pic:spPr>
                      </pic:pic>
                    </a:graphicData>
                  </a:graphic>
                </wp:anchor>
              </w:drawing>
            </w:r>
            <w:r>
              <w:rPr>
                <w:rFonts w:hint="eastAsia"/>
                <w:sz w:val="18"/>
                <w:szCs w:val="18"/>
                <w:vertAlign w:val="baseline"/>
                <w:lang w:val="en-US" w:eastAsia="zh-CN"/>
              </w:rPr>
              <w:t>圆馆交互</w:t>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摄像头体感交互程序*5</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本项目由五个独立的房间构成，每个房间均呈现一个独具个性的人物造型，并搭载一套完整的可交互系统。</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五个房间，五位角色，五段截然不同的沉浸式旅程，共同构建了一个多元化的叙事体验空间。</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sz w:val="18"/>
                <w:szCs w:val="18"/>
                <w:vertAlign w:val="baseline"/>
                <w:lang w:val="en-US" w:eastAsia="zh-CN"/>
              </w:rPr>
              <w:t>裴峰（叶师父）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17</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sz w:val="18"/>
                <w:szCs w:val="18"/>
                <w:vertAlign w:val="baseline"/>
                <w:lang w:val="en-US" w:eastAsia="zh-CN"/>
              </w:rPr>
            </w:pPr>
            <w:r>
              <w:rPr>
                <w:rFonts w:ascii="宋体" w:hAnsi="宋体" w:eastAsia="宋体" w:cs="宋体"/>
                <w:kern w:val="0"/>
                <w:sz w:val="24"/>
                <w:szCs w:val="24"/>
                <w:lang w:val="en-US" w:eastAsia="zh-CN" w:bidi="ar"/>
              </w:rPr>
              <w:drawing>
                <wp:anchor distT="0" distB="0" distL="114300" distR="114300" simplePos="0" relativeHeight="251730944" behindDoc="0" locked="0" layoutInCell="1" allowOverlap="1">
                  <wp:simplePos x="0" y="0"/>
                  <wp:positionH relativeFrom="column">
                    <wp:posOffset>-17780</wp:posOffset>
                  </wp:positionH>
                  <wp:positionV relativeFrom="paragraph">
                    <wp:posOffset>160655</wp:posOffset>
                  </wp:positionV>
                  <wp:extent cx="1334770" cy="751205"/>
                  <wp:effectExtent l="0" t="0" r="17780" b="10795"/>
                  <wp:wrapTopAndBottom/>
                  <wp:docPr id="7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descr="IMG_256"/>
                          <pic:cNvPicPr>
                            <a:picLocks noChangeAspect="1"/>
                          </pic:cNvPicPr>
                        </pic:nvPicPr>
                        <pic:blipFill>
                          <a:blip r:embed="rId26"/>
                          <a:stretch>
                            <a:fillRect/>
                          </a:stretch>
                        </pic:blipFill>
                        <pic:spPr>
                          <a:xfrm>
                            <a:off x="0" y="0"/>
                            <a:ext cx="1334770" cy="751205"/>
                          </a:xfrm>
                          <a:prstGeom prst="rect">
                            <a:avLst/>
                          </a:prstGeom>
                          <a:noFill/>
                          <a:ln w="9525">
                            <a:noFill/>
                          </a:ln>
                        </pic:spPr>
                      </pic:pic>
                    </a:graphicData>
                  </a:graphic>
                </wp:anchor>
              </w:drawing>
            </w:r>
            <w:r>
              <w:rPr>
                <w:rFonts w:hint="eastAsia"/>
                <w:sz w:val="18"/>
                <w:szCs w:val="18"/>
                <w:vertAlign w:val="baseline"/>
                <w:lang w:val="en-US" w:eastAsia="zh-CN"/>
              </w:rPr>
              <w:t>圆馆影像装置</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pPr>
          </w:p>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heme="minorHAnsi" w:hAnsiTheme="minorHAnsi" w:eastAsiaTheme="minorEastAsia" w:cstheme="minorBidi"/>
                <w:kern w:val="2"/>
                <w:sz w:val="18"/>
                <w:szCs w:val="18"/>
                <w:vertAlign w:val="baseline"/>
                <w:lang w:val="en-US" w:eastAsia="zh-CN" w:bidi="ar-SA"/>
              </w:rPr>
            </w:pP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《旷野之息》思辨设计影像装置，探讨了在算力成为稀缺资源的未来中，人类与数字生命之间的脆弱关系。</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sz w:val="18"/>
                <w:szCs w:val="18"/>
                <w:vertAlign w:val="baseline"/>
                <w:lang w:val="en-US" w:eastAsia="zh-CN"/>
              </w:rPr>
              <w:t>黄炜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18</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eastAsiaTheme="minorEastAsia"/>
                <w:sz w:val="18"/>
                <w:szCs w:val="18"/>
                <w:vertAlign w:val="baseline"/>
                <w:lang w:eastAsia="zh-CN"/>
              </w:rPr>
              <w:drawing>
                <wp:anchor distT="0" distB="0" distL="114300" distR="114300" simplePos="0" relativeHeight="251731968" behindDoc="0" locked="0" layoutInCell="1" allowOverlap="1">
                  <wp:simplePos x="0" y="0"/>
                  <wp:positionH relativeFrom="column">
                    <wp:posOffset>0</wp:posOffset>
                  </wp:positionH>
                  <wp:positionV relativeFrom="paragraph">
                    <wp:posOffset>-1135380</wp:posOffset>
                  </wp:positionV>
                  <wp:extent cx="1393825" cy="1238885"/>
                  <wp:effectExtent l="0" t="0" r="15875" b="18415"/>
                  <wp:wrapTopAndBottom/>
                  <wp:docPr id="71" name="图片 71" descr="L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LED MODEL"/>
                          <pic:cNvPicPr>
                            <a:picLocks noChangeAspect="1"/>
                          </pic:cNvPicPr>
                        </pic:nvPicPr>
                        <pic:blipFill>
                          <a:blip r:embed="rId18"/>
                          <a:stretch>
                            <a:fillRect/>
                          </a:stretch>
                        </pic:blipFill>
                        <pic:spPr>
                          <a:xfrm>
                            <a:off x="0" y="0"/>
                            <a:ext cx="1393825" cy="1238885"/>
                          </a:xfrm>
                          <a:prstGeom prst="rect">
                            <a:avLst/>
                          </a:prstGeom>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核心概念： 剥离色彩，以极简的黑白几何图形，展现纯粹的数字节奏与建筑韵律。</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视觉描述： 作品仅使用黑、白、灰三种色调。基础几何图形（方块、线条、圆点）如同跳动的音符，跟随音乐的节拍进行精准而富有张力的位移、缩放、闪烁与重复。强烈的对比度创造出清晰的视觉焦点与深邃的空间层次。图形运动轨迹干净利落，形成一种类似机械精密舞步或数据可视化的冷静美感，在秩序中迸发出内在的活力。</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李洲洲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19</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vertAlign w:val="baseline"/>
                <w:lang w:val="en-US" w:eastAsia="zh-CN" w:bidi="ar-SA"/>
              </w:rPr>
            </w:pPr>
            <w:r>
              <w:rPr>
                <w:sz w:val="18"/>
                <w:szCs w:val="18"/>
              </w:rPr>
              <w:drawing>
                <wp:anchor distT="0" distB="0" distL="114300" distR="114300" simplePos="0" relativeHeight="251732992" behindDoc="0" locked="0" layoutInCell="1" allowOverlap="1">
                  <wp:simplePos x="0" y="0"/>
                  <wp:positionH relativeFrom="column">
                    <wp:posOffset>0</wp:posOffset>
                  </wp:positionH>
                  <wp:positionV relativeFrom="paragraph">
                    <wp:posOffset>-621030</wp:posOffset>
                  </wp:positionV>
                  <wp:extent cx="1395095" cy="725805"/>
                  <wp:effectExtent l="0" t="0" r="14605" b="17145"/>
                  <wp:wrapTopAndBottom/>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17"/>
                          <a:stretch>
                            <a:fillRect/>
                          </a:stretch>
                        </pic:blipFill>
                        <pic:spPr>
                          <a:xfrm>
                            <a:off x="0" y="0"/>
                            <a:ext cx="1395095" cy="72580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核心概念： 将儿童公园的门头字母转化为抽象线条流动的载体。</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视觉描述： 作品以公园色彩明快的门头字母为画布，冷色调的抽象线条如光之溪流，从字母边缘生长、缠绕、流淌。线条的运动充满童真般的随机与灵动，时而汇聚成闪烁的星点，时而如柔滑的丝带滑过字母表面。坚硬的字母结构因内部流动的能量而被“软化”，产生一种理性结构与感性流动共舞的奇妙视觉。</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周杨小晓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20</w:t>
            </w:r>
          </w:p>
        </w:tc>
        <w:tc>
          <w:tcPr>
            <w:tcW w:w="963"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pPr>
            <w:r>
              <w:rPr>
                <w:rFonts w:ascii="宋体" w:hAnsi="宋体" w:eastAsia="宋体" w:cs="宋体"/>
                <w:kern w:val="0"/>
                <w:sz w:val="24"/>
                <w:szCs w:val="24"/>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-887730</wp:posOffset>
                  </wp:positionV>
                  <wp:extent cx="1333500" cy="999490"/>
                  <wp:effectExtent l="0" t="0" r="0" b="10160"/>
                  <wp:wrapTopAndBottom/>
                  <wp:docPr id="7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descr="IMG_256"/>
                          <pic:cNvPicPr>
                            <a:picLocks noChangeAspect="1"/>
                          </pic:cNvPicPr>
                        </pic:nvPicPr>
                        <pic:blipFill>
                          <a:blip r:embed="rId27"/>
                          <a:stretch>
                            <a:fillRect/>
                          </a:stretch>
                        </pic:blipFill>
                        <pic:spPr>
                          <a:xfrm>
                            <a:off x="0" y="0"/>
                            <a:ext cx="1333500" cy="999490"/>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lang w:val="en-US" w:eastAsia="zh-CN" w:bidi="ar-SA"/>
              </w:rPr>
            </w:pP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核心概念： 用数万颗动态彩色波点，模拟一场无限绽放的数码繁花盛宴。</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视觉描述： 作品脱离具体形态，以高饱和度的鲜艳波点作为基本像素。无数波点以呼吸般的节奏不断聚合、扩散、旋转，时而形成巨大的花朵轮廓瞬间怒放，时而分解为绚烂的星云漩涡。色彩在红、紫、蓝、粉之间梦幻渐变，波点间重叠、透叠产生的视觉混合，让整体画面充满旺盛的生命力与欢乐的庆典感。</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体验联想： 如同坠入一个万花筒般的童话梦境，或目睹一场由纯粹色彩与节奏构成的、永不停歇的春日花园狂欢。</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丁为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21</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35040" behindDoc="0" locked="0" layoutInCell="1" allowOverlap="1">
                  <wp:simplePos x="0" y="0"/>
                  <wp:positionH relativeFrom="column">
                    <wp:posOffset>0</wp:posOffset>
                  </wp:positionH>
                  <wp:positionV relativeFrom="paragraph">
                    <wp:posOffset>-1059180</wp:posOffset>
                  </wp:positionV>
                  <wp:extent cx="1398270" cy="1165225"/>
                  <wp:effectExtent l="0" t="0" r="11430" b="15875"/>
                  <wp:wrapTopAndBottom/>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1398270" cy="116522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《几木园》MAPPING 作品设置在重庆儿童公园一隅的一座小巧建筑之上，以色彩与光影为画笔，将整面立面化作一部流动的“艺术发展史”。画面从最初的原始涂鸦、图腾符号出发，延展至古典绘画的结构秩序，再到现代主义的解构与重组，最终迈向数字时代的像素、代码与虚拟影像。不同历史阶段的艺术风格在建筑表面不断交替、叠加、演化，像时间被折叠进空间。作品以轻快、通透的方式，将人类艺术千年的探索浓缩为一场适合孩子与家庭共同观看的光影旅程，让艺术史变得可感、可亲，也充满想象力。</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ascii="Calibri" w:hAnsi="Calibri" w:eastAsia="方正仿宋_GBK" w:cs="Times New Roman"/>
                <w:kern w:val="2"/>
                <w:sz w:val="18"/>
                <w:szCs w:val="18"/>
                <w:highlight w:val="none"/>
                <w:vertAlign w:val="baseline"/>
                <w:lang w:val="en-US" w:eastAsia="zh-CN" w:bidi="ar-SA"/>
              </w:rPr>
              <w:t>刘子豪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sz w:val="18"/>
                <w:szCs w:val="18"/>
                <w:highlight w:val="none"/>
                <w:vertAlign w:val="baseline"/>
                <w:lang w:val="en-US" w:eastAsia="zh-CN"/>
              </w:rPr>
              <w:t>22</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36064" behindDoc="0" locked="0" layoutInCell="1" allowOverlap="1">
                  <wp:simplePos x="0" y="0"/>
                  <wp:positionH relativeFrom="column">
                    <wp:posOffset>0</wp:posOffset>
                  </wp:positionH>
                  <wp:positionV relativeFrom="paragraph">
                    <wp:posOffset>-640080</wp:posOffset>
                  </wp:positionV>
                  <wp:extent cx="1402080" cy="755015"/>
                  <wp:effectExtent l="0" t="0" r="7620" b="6985"/>
                  <wp:wrapTopAndBottom/>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16"/>
                          <a:stretch>
                            <a:fillRect/>
                          </a:stretch>
                        </pic:blipFill>
                        <pic:spPr>
                          <a:xfrm>
                            <a:off x="0" y="0"/>
                            <a:ext cx="1402080" cy="755015"/>
                          </a:xfrm>
                          <a:prstGeom prst="rect">
                            <a:avLst/>
                          </a:prstGeom>
                          <a:noFill/>
                          <a:ln>
                            <a:noFill/>
                          </a:ln>
                        </pic:spPr>
                      </pic:pic>
                    </a:graphicData>
                  </a:graphic>
                </wp:anchor>
              </w:drawing>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锦上万象》以中国传统丝绸纹样为灵感，比如来自蜀锦、宋锦、侗族织锦等，将千年织造的纹理、色彩与寓意，用MAPPING的方式重新点亮。作品在重庆儿童公园的小小建筑上展开，如同一幅会呼吸的织锦从墙面慢慢铺开。华丽的团花、云纹、瑞兽、羽饰在光影中层层展开，让每个观众看到传统的浪漫，也重新遇见东方纹样的深邃与温柔。它是一块流动的“锦”，把万象之美织进夜色里。</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ascii="Calibri" w:hAnsi="Calibri" w:eastAsia="方正仿宋_GBK" w:cs="Times New Roman"/>
                <w:kern w:val="2"/>
                <w:sz w:val="18"/>
                <w:szCs w:val="18"/>
                <w:highlight w:val="none"/>
                <w:vertAlign w:val="baseline"/>
                <w:lang w:val="en-US" w:eastAsia="zh-CN" w:bidi="ar-SA"/>
              </w:rPr>
              <w:t>徐晗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23</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713536" behindDoc="0" locked="0" layoutInCell="1" allowOverlap="1">
                  <wp:simplePos x="0" y="0"/>
                  <wp:positionH relativeFrom="column">
                    <wp:posOffset>-25400</wp:posOffset>
                  </wp:positionH>
                  <wp:positionV relativeFrom="paragraph">
                    <wp:posOffset>260350</wp:posOffset>
                  </wp:positionV>
                  <wp:extent cx="1436370" cy="777875"/>
                  <wp:effectExtent l="0" t="0" r="11430" b="3175"/>
                  <wp:wrapSquare wrapText="bothSides"/>
                  <wp:docPr id="76" name="图片 76" descr="da9864dcb80f6eec50e5f8f3d8139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da9864dcb80f6eec50e5f8f3d81391f3"/>
                          <pic:cNvPicPr>
                            <a:picLocks noChangeAspect="1"/>
                          </pic:cNvPicPr>
                        </pic:nvPicPr>
                        <pic:blipFill>
                          <a:blip r:embed="rId23"/>
                          <a:stretch>
                            <a:fillRect/>
                          </a:stretch>
                        </pic:blipFill>
                        <pic:spPr>
                          <a:xfrm>
                            <a:off x="0" y="0"/>
                            <a:ext cx="1436370" cy="777875"/>
                          </a:xfrm>
                          <a:prstGeom prst="rect">
                            <a:avLst/>
                          </a:prstGeom>
                        </pic:spPr>
                      </pic:pic>
                    </a:graphicData>
                  </a:graphic>
                </wp:anchor>
              </w:drawing>
            </w:r>
            <w:r>
              <w:rPr>
                <w:rFonts w:hint="eastAsia"/>
                <w:sz w:val="18"/>
                <w:szCs w:val="18"/>
                <w:highlight w:val="none"/>
                <w:vertAlign w:val="baseline"/>
                <w:lang w:val="en-US" w:eastAsia="zh-CN"/>
              </w:rPr>
              <w:t>室内纱幕</w:t>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本次作品以纱幕为主要载体，画面语言极简克制，强调线条、光影与节奏的纯粹关系，呈现出具有现代感的视觉气质。影像不再承担叙事功能，而是作为一种“呼吸中的空间”，与舞蹈演员的即兴身体动作形成实时对话。舞者的每一次伸展、回旋与停顿，都会被纱幕上的光影放大、回应与延展，仿佛生命在虚实之间彼此牵引。作品试图从最本质的层面出发，探讨生命的流动、感知与存在状态，让观众在极简与留白中，重新感受身体、时间与生命本身的微妙关联。</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孟子然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24</w:t>
            </w:r>
          </w:p>
        </w:tc>
        <w:tc>
          <w:tcPr>
            <w:tcW w:w="963"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712512" behindDoc="1" locked="0" layoutInCell="1" allowOverlap="1">
                  <wp:simplePos x="0" y="0"/>
                  <wp:positionH relativeFrom="column">
                    <wp:posOffset>-22225</wp:posOffset>
                  </wp:positionH>
                  <wp:positionV relativeFrom="paragraph">
                    <wp:posOffset>254000</wp:posOffset>
                  </wp:positionV>
                  <wp:extent cx="1437640" cy="853440"/>
                  <wp:effectExtent l="0" t="0" r="10160" b="3810"/>
                  <wp:wrapTight wrapText="bothSides">
                    <wp:wrapPolygon>
                      <wp:start x="0" y="0"/>
                      <wp:lineTo x="0" y="21214"/>
                      <wp:lineTo x="21180" y="21214"/>
                      <wp:lineTo x="21180" y="0"/>
                      <wp:lineTo x="0" y="0"/>
                    </wp:wrapPolygon>
                  </wp:wrapTight>
                  <wp:docPr id="77" name="图片 77" descr="0e4a8652567feae527dc027797c3b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e4a8652567feae527dc027797c3b847"/>
                          <pic:cNvPicPr>
                            <a:picLocks noChangeAspect="1"/>
                          </pic:cNvPicPr>
                        </pic:nvPicPr>
                        <pic:blipFill>
                          <a:blip r:embed="rId21"/>
                          <a:stretch>
                            <a:fillRect/>
                          </a:stretch>
                        </pic:blipFill>
                        <pic:spPr>
                          <a:xfrm>
                            <a:off x="0" y="0"/>
                            <a:ext cx="1437640" cy="853440"/>
                          </a:xfrm>
                          <a:prstGeom prst="rect">
                            <a:avLst/>
                          </a:prstGeom>
                        </pic:spPr>
                      </pic:pic>
                    </a:graphicData>
                  </a:graphic>
                </wp:anchor>
              </w:drawing>
            </w:r>
            <w:r>
              <w:rPr>
                <w:rFonts w:hint="eastAsia"/>
                <w:sz w:val="18"/>
                <w:szCs w:val="18"/>
                <w:highlight w:val="none"/>
                <w:vertAlign w:val="baseline"/>
                <w:lang w:val="en-US" w:eastAsia="zh-CN"/>
              </w:rPr>
              <w:t>室外纱幕</w:t>
            </w:r>
          </w:p>
        </w:tc>
        <w:tc>
          <w:tcPr>
            <w:tcW w:w="29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来到世界的第一年》以孩子的视角展开叙事。孩子眼中的世界没有边界，他们相信风会歌唱、光能呼吸、树木会低语，连尘埃也闪烁着生命的光。作品试图还原这种最纯粹的感知状态，用柔和的色彩与流动的节奏去描绘自然的脉动与生命的节律。光与影在画面中不断交织、呼吸、伸展，如同心跳的频率，带领观者进入一个既真实又梦幻的时空。每一束光都像是一种情感的触须，轻轻连接起观者与世界的温度。我们希望观众在这段光影旅程中，能暂时放下成人世界的理性，重新感受那份久违的惊奇与温柔，找回与自然、与生命、与爱之间最原初的共鸣。</w:t>
            </w:r>
          </w:p>
        </w:tc>
        <w:tc>
          <w:tcPr>
            <w:tcW w:w="89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赵瑜佳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cstheme="minorBidi"/>
                <w:kern w:val="2"/>
                <w:sz w:val="18"/>
                <w:szCs w:val="18"/>
                <w:highlight w:val="none"/>
                <w:vertAlign w:val="baseline"/>
                <w:lang w:val="en-US" w:eastAsia="zh-CN" w:bidi="ar-SA"/>
              </w:rPr>
            </w:pPr>
          </w:p>
        </w:tc>
        <w:tc>
          <w:tcPr>
            <w:tcW w:w="4799" w:type="pct"/>
            <w:gridSpan w:val="3"/>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共计：</w:t>
            </w:r>
          </w:p>
        </w:tc>
      </w:tr>
    </w:tbl>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pStyle w:val="43"/>
        <w:rPr>
          <w:rFonts w:hint="eastAsia"/>
          <w:color w:val="auto"/>
          <w:highlight w:val="none"/>
        </w:rPr>
      </w:pPr>
    </w:p>
    <w:p>
      <w:pPr>
        <w:rPr>
          <w:rFonts w:hint="eastAsia" w:ascii="宋体" w:hAnsi="宋体" w:eastAsia="宋体" w:cs="宋体"/>
          <w:b w:val="0"/>
          <w:bCs/>
          <w:color w:val="auto"/>
          <w:sz w:val="21"/>
          <w:szCs w:val="21"/>
          <w:highlight w:val="none"/>
        </w:rPr>
      </w:pPr>
    </w:p>
    <w:p>
      <w:pPr>
        <w:pStyle w:val="21"/>
        <w:rPr>
          <w:rFonts w:hint="eastAsia" w:ascii="宋体" w:hAnsi="宋体" w:eastAsia="宋体" w:cs="宋体"/>
          <w:b w:val="0"/>
          <w:bCs/>
          <w:color w:val="auto"/>
          <w:sz w:val="21"/>
          <w:szCs w:val="21"/>
          <w:highlight w:val="none"/>
        </w:rPr>
      </w:pPr>
    </w:p>
    <w:p>
      <w:pPr>
        <w:rPr>
          <w:rFonts w:hint="eastAsia" w:ascii="宋体" w:hAnsi="宋体" w:eastAsia="宋体" w:cs="宋体"/>
          <w:b w:val="0"/>
          <w:bCs/>
          <w:color w:val="auto"/>
          <w:sz w:val="21"/>
          <w:szCs w:val="21"/>
          <w:highlight w:val="none"/>
        </w:rPr>
      </w:pPr>
    </w:p>
    <w:p>
      <w:pPr>
        <w:pStyle w:val="21"/>
        <w:rPr>
          <w:rFonts w:hint="eastAsia"/>
          <w:color w:val="auto"/>
          <w:highlight w:val="none"/>
        </w:rPr>
      </w:pPr>
    </w:p>
    <w:p>
      <w:pPr>
        <w:pStyle w:val="3"/>
        <w:numPr>
          <w:ilvl w:val="0"/>
          <w:numId w:val="0"/>
        </w:numPr>
        <w:bidi w:val="0"/>
        <w:ind w:firstLine="3080" w:firstLineChars="700"/>
        <w:jc w:val="left"/>
        <w:rPr>
          <w:color w:val="auto"/>
          <w:highlight w:val="none"/>
        </w:rPr>
      </w:pPr>
      <w:bookmarkStart w:id="65" w:name="_Toc21615"/>
      <w:r>
        <w:rPr>
          <w:rFonts w:hint="eastAsia"/>
          <w:color w:val="auto"/>
          <w:highlight w:val="none"/>
          <w:lang w:val="en-US" w:eastAsia="zh-CN"/>
        </w:rPr>
        <w:t xml:space="preserve">第六章  </w:t>
      </w:r>
      <w:r>
        <w:rPr>
          <w:rFonts w:hint="eastAsia"/>
          <w:color w:val="auto"/>
          <w:highlight w:val="none"/>
          <w:lang w:eastAsia="zh-CN"/>
        </w:rPr>
        <w:t>参选</w:t>
      </w:r>
      <w:r>
        <w:rPr>
          <w:rFonts w:hint="eastAsia"/>
          <w:color w:val="auto"/>
          <w:highlight w:val="none"/>
        </w:rPr>
        <w:t>文件格式</w:t>
      </w:r>
      <w:bookmarkEnd w:id="26"/>
      <w:bookmarkEnd w:id="27"/>
      <w:bookmarkEnd w:id="65"/>
    </w:p>
    <w:p>
      <w:pPr>
        <w:tabs>
          <w:tab w:val="left" w:pos="2580"/>
          <w:tab w:val="left" w:pos="5940"/>
        </w:tabs>
        <w:autoSpaceDE w:val="0"/>
        <w:autoSpaceDN w:val="0"/>
        <w:adjustRightInd w:val="0"/>
        <w:snapToGrid w:val="0"/>
        <w:spacing w:line="360" w:lineRule="auto"/>
        <w:jc w:val="left"/>
        <w:outlineLvl w:val="2"/>
        <w:rPr>
          <w:rFonts w:hint="eastAsia" w:ascii="宋体" w:hAnsi="宋体" w:cs="MingLiU"/>
          <w:color w:val="auto"/>
          <w:kern w:val="0"/>
          <w:sz w:val="24"/>
          <w:highlight w:val="none"/>
        </w:rPr>
      </w:pPr>
    </w:p>
    <w:p>
      <w:pPr>
        <w:autoSpaceDE w:val="0"/>
        <w:autoSpaceDN w:val="0"/>
        <w:adjustRightInd w:val="0"/>
        <w:spacing w:before="9" w:line="313" w:lineRule="auto"/>
        <w:ind w:right="177" w:firstLine="464" w:firstLineChars="221"/>
        <w:rPr>
          <w:rFonts w:hint="eastAsia"/>
          <w:color w:val="auto"/>
          <w:szCs w:val="21"/>
          <w:highlight w:val="none"/>
        </w:rPr>
      </w:pPr>
    </w:p>
    <w:p>
      <w:pPr>
        <w:autoSpaceDE w:val="0"/>
        <w:autoSpaceDN w:val="0"/>
        <w:adjustRightInd w:val="0"/>
        <w:spacing w:before="9" w:line="313" w:lineRule="auto"/>
        <w:ind w:right="177" w:firstLine="464" w:firstLineChars="221"/>
        <w:rPr>
          <w:rFonts w:hint="eastAsia"/>
          <w:color w:val="auto"/>
          <w:szCs w:val="21"/>
          <w:highlight w:val="none"/>
        </w:rPr>
      </w:pPr>
    </w:p>
    <w:p>
      <w:pPr>
        <w:tabs>
          <w:tab w:val="left" w:pos="2580"/>
          <w:tab w:val="left" w:pos="5940"/>
        </w:tabs>
        <w:autoSpaceDE w:val="0"/>
        <w:autoSpaceDN w:val="0"/>
        <w:adjustRightInd w:val="0"/>
        <w:snapToGrid w:val="0"/>
        <w:spacing w:line="360" w:lineRule="auto"/>
        <w:jc w:val="left"/>
        <w:rPr>
          <w:rFonts w:hint="eastAsia" w:ascii="宋体" w:hAnsi="宋体"/>
          <w:color w:val="auto"/>
          <w:kern w:val="0"/>
          <w:sz w:val="28"/>
          <w:szCs w:val="28"/>
          <w:highlight w:val="none"/>
        </w:rPr>
      </w:pPr>
    </w:p>
    <w:p>
      <w:pPr>
        <w:pageBreakBefore/>
        <w:spacing w:line="360" w:lineRule="auto"/>
        <w:jc w:val="center"/>
        <w:outlineLvl w:val="1"/>
        <w:rPr>
          <w:rFonts w:hint="eastAsia" w:ascii="宋体" w:hAnsi="宋体"/>
          <w:color w:val="auto"/>
          <w:sz w:val="36"/>
          <w:szCs w:val="36"/>
          <w:highlight w:val="none"/>
        </w:rPr>
        <w:sectPr>
          <w:footerReference r:id="rId9" w:type="first"/>
          <w:footerReference r:id="rId8"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p>
    <w:p>
      <w:pPr>
        <w:pageBreakBefore/>
        <w:spacing w:line="360" w:lineRule="auto"/>
        <w:jc w:val="center"/>
        <w:outlineLvl w:val="1"/>
        <w:rPr>
          <w:rFonts w:ascii="宋体" w:hAnsi="宋体"/>
          <w:color w:val="auto"/>
          <w:sz w:val="36"/>
          <w:szCs w:val="36"/>
          <w:highlight w:val="none"/>
        </w:rPr>
      </w:pPr>
      <w:r>
        <w:rPr>
          <w:rFonts w:hint="eastAsia" w:ascii="宋体" w:hAnsi="宋体"/>
          <w:color w:val="auto"/>
          <w:sz w:val="36"/>
          <w:szCs w:val="36"/>
          <w:highlight w:val="none"/>
          <w:lang w:val="en-US" w:eastAsia="zh-CN"/>
        </w:rPr>
        <w:t>一</w:t>
      </w:r>
      <w:r>
        <w:rPr>
          <w:rFonts w:hint="eastAsia" w:ascii="宋体" w:hAnsi="宋体"/>
          <w:color w:val="auto"/>
          <w:sz w:val="36"/>
          <w:szCs w:val="36"/>
          <w:highlight w:val="none"/>
        </w:rPr>
        <w:t>、</w:t>
      </w:r>
      <w:r>
        <w:rPr>
          <w:rFonts w:hint="eastAsia" w:ascii="宋体" w:hAnsi="宋体"/>
          <w:color w:val="auto"/>
          <w:sz w:val="36"/>
          <w:szCs w:val="36"/>
          <w:highlight w:val="none"/>
          <w:lang w:eastAsia="zh-CN"/>
        </w:rPr>
        <w:t>参选</w:t>
      </w:r>
      <w:r>
        <w:rPr>
          <w:rFonts w:hint="eastAsia" w:ascii="宋体" w:hAnsi="宋体"/>
          <w:color w:val="auto"/>
          <w:sz w:val="36"/>
          <w:szCs w:val="36"/>
          <w:highlight w:val="none"/>
        </w:rPr>
        <w:t>函部分</w:t>
      </w:r>
    </w:p>
    <w:p>
      <w:pPr>
        <w:spacing w:line="360" w:lineRule="auto"/>
        <w:jc w:val="center"/>
        <w:rPr>
          <w:rFonts w:ascii="宋体" w:hAnsi="宋体"/>
          <w:color w:val="auto"/>
          <w:highlight w:val="none"/>
        </w:rPr>
      </w:pPr>
    </w:p>
    <w:p>
      <w:pPr>
        <w:ind w:firstLine="260"/>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pStyle w:val="21"/>
        <w:rPr>
          <w:color w:val="auto"/>
          <w:highlight w:val="none"/>
        </w:rPr>
      </w:pPr>
    </w:p>
    <w:p>
      <w:pPr>
        <w:rPr>
          <w:color w:val="auto"/>
          <w:highlight w:val="none"/>
        </w:rPr>
      </w:pPr>
    </w:p>
    <w:p>
      <w:pPr>
        <w:spacing w:line="360" w:lineRule="auto"/>
        <w:jc w:val="center"/>
        <w:rPr>
          <w:rFonts w:hint="eastAsia" w:ascii="宋体" w:hAnsi="宋体"/>
          <w:color w:val="auto"/>
          <w:kern w:val="0"/>
          <w:sz w:val="32"/>
          <w:szCs w:val="32"/>
          <w:highlight w:val="none"/>
          <w:u w:val="single"/>
        </w:rPr>
      </w:pPr>
    </w:p>
    <w:p>
      <w:pPr>
        <w:spacing w:line="360" w:lineRule="auto"/>
        <w:jc w:val="center"/>
        <w:rPr>
          <w:rFonts w:hint="eastAsia" w:ascii="宋体" w:hAnsi="宋体"/>
          <w:color w:val="auto"/>
          <w:kern w:val="0"/>
          <w:sz w:val="32"/>
          <w:szCs w:val="32"/>
          <w:highlight w:val="none"/>
        </w:rPr>
      </w:pPr>
      <w:r>
        <w:rPr>
          <w:rFonts w:hint="eastAsia" w:ascii="宋体" w:hAnsi="宋体"/>
          <w:color w:val="auto"/>
          <w:kern w:val="0"/>
          <w:sz w:val="32"/>
          <w:szCs w:val="32"/>
          <w:highlight w:val="none"/>
          <w:u w:val="single"/>
        </w:rPr>
        <w:t xml:space="preserve">                   </w:t>
      </w:r>
      <w:r>
        <w:rPr>
          <w:rFonts w:hint="eastAsia" w:ascii="宋体" w:hAnsi="宋体"/>
          <w:color w:val="auto"/>
          <w:kern w:val="0"/>
          <w:sz w:val="32"/>
          <w:szCs w:val="32"/>
          <w:highlight w:val="none"/>
        </w:rPr>
        <w:t>（项目名称）</w:t>
      </w:r>
    </w:p>
    <w:p>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highlight w:val="none"/>
        </w:rPr>
      </w:pPr>
    </w:p>
    <w:p>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highlight w:val="none"/>
        </w:rPr>
      </w:pPr>
    </w:p>
    <w:p>
      <w:pPr>
        <w:tabs>
          <w:tab w:val="left" w:pos="3600"/>
          <w:tab w:val="left" w:pos="4480"/>
          <w:tab w:val="left" w:pos="5360"/>
        </w:tabs>
        <w:autoSpaceDE w:val="0"/>
        <w:autoSpaceDN w:val="0"/>
        <w:adjustRightInd w:val="0"/>
        <w:snapToGrid w:val="0"/>
        <w:spacing w:line="360" w:lineRule="auto"/>
        <w:jc w:val="center"/>
        <w:rPr>
          <w:rFonts w:ascii="宋体" w:hAnsi="宋体"/>
          <w:color w:val="auto"/>
          <w:kern w:val="0"/>
          <w:sz w:val="72"/>
          <w:szCs w:val="72"/>
          <w:highlight w:val="none"/>
        </w:rPr>
      </w:pPr>
      <w:r>
        <w:rPr>
          <w:rFonts w:hint="eastAsia" w:ascii="宋体" w:hAnsi="宋体"/>
          <w:color w:val="auto"/>
          <w:kern w:val="0"/>
          <w:sz w:val="72"/>
          <w:szCs w:val="72"/>
          <w:highlight w:val="none"/>
          <w:lang w:eastAsia="zh-CN"/>
        </w:rPr>
        <w:t>参选</w:t>
      </w:r>
      <w:r>
        <w:rPr>
          <w:rFonts w:hint="eastAsia" w:ascii="宋体" w:hAnsi="宋体"/>
          <w:color w:val="auto"/>
          <w:kern w:val="0"/>
          <w:sz w:val="72"/>
          <w:szCs w:val="72"/>
          <w:highlight w:val="none"/>
        </w:rPr>
        <w:t>文件</w:t>
      </w:r>
    </w:p>
    <w:p>
      <w:pPr>
        <w:autoSpaceDE w:val="0"/>
        <w:autoSpaceDN w:val="0"/>
        <w:adjustRightInd w:val="0"/>
        <w:snapToGrid w:val="0"/>
        <w:spacing w:line="360" w:lineRule="auto"/>
        <w:jc w:val="center"/>
        <w:rPr>
          <w:rFonts w:ascii="宋体" w:hAnsi="宋体"/>
          <w:b/>
          <w:bCs/>
          <w:color w:val="auto"/>
          <w:kern w:val="0"/>
          <w:sz w:val="40"/>
          <w:szCs w:val="40"/>
          <w:highlight w:val="none"/>
        </w:rPr>
      </w:pPr>
      <w:r>
        <w:rPr>
          <w:rFonts w:hint="eastAsia" w:ascii="宋体" w:hAnsi="宋体"/>
          <w:b/>
          <w:bCs/>
          <w:color w:val="auto"/>
          <w:kern w:val="0"/>
          <w:sz w:val="40"/>
          <w:szCs w:val="40"/>
          <w:highlight w:val="none"/>
          <w:lang w:eastAsia="zh-CN"/>
        </w:rPr>
        <w:t>参选</w:t>
      </w:r>
      <w:r>
        <w:rPr>
          <w:rFonts w:hint="eastAsia" w:ascii="宋体" w:hAnsi="宋体"/>
          <w:b/>
          <w:bCs/>
          <w:color w:val="auto"/>
          <w:kern w:val="0"/>
          <w:sz w:val="40"/>
          <w:szCs w:val="40"/>
          <w:highlight w:val="none"/>
        </w:rPr>
        <w:t>函部分</w:t>
      </w: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tabs>
          <w:tab w:val="left" w:pos="6080"/>
          <w:tab w:val="left" w:pos="6640"/>
        </w:tabs>
        <w:autoSpaceDE w:val="0"/>
        <w:autoSpaceDN w:val="0"/>
        <w:adjustRightInd w:val="0"/>
        <w:snapToGrid w:val="0"/>
        <w:spacing w:after="160" w:afterLines="50" w:line="360" w:lineRule="auto"/>
        <w:jc w:val="center"/>
        <w:rPr>
          <w:rFonts w:ascii="宋体" w:hAnsi="宋体"/>
          <w:color w:val="auto"/>
          <w:w w:val="99"/>
          <w:kern w:val="0"/>
          <w:sz w:val="28"/>
          <w:szCs w:val="28"/>
          <w:highlight w:val="none"/>
        </w:rPr>
      </w:pPr>
      <w:r>
        <w:rPr>
          <w:rFonts w:hint="eastAsia" w:ascii="宋体" w:hAnsi="宋体"/>
          <w:color w:val="auto"/>
          <w:w w:val="99"/>
          <w:kern w:val="0"/>
          <w:sz w:val="28"/>
          <w:szCs w:val="28"/>
          <w:highlight w:val="none"/>
          <w:lang w:eastAsia="zh-CN"/>
        </w:rPr>
        <w:t>参选</w:t>
      </w:r>
      <w:r>
        <w:rPr>
          <w:rFonts w:hint="eastAsia" w:ascii="宋体" w:hAnsi="宋体"/>
          <w:color w:val="auto"/>
          <w:w w:val="99"/>
          <w:kern w:val="0"/>
          <w:sz w:val="28"/>
          <w:szCs w:val="28"/>
          <w:highlight w:val="none"/>
        </w:rPr>
        <w:t>人</w:t>
      </w:r>
      <w:r>
        <w:rPr>
          <w:rFonts w:ascii="宋体" w:hAnsi="宋体"/>
          <w:color w:val="auto"/>
          <w:spacing w:val="1"/>
          <w:w w:val="99"/>
          <w:kern w:val="0"/>
          <w:sz w:val="28"/>
          <w:szCs w:val="28"/>
          <w:highlight w:val="none"/>
        </w:rPr>
        <w:t>：</w:t>
      </w:r>
      <w:r>
        <w:rPr>
          <w:rFonts w:ascii="宋体" w:hAnsi="宋体"/>
          <w:color w:val="auto"/>
          <w:w w:val="198"/>
          <w:kern w:val="0"/>
          <w:sz w:val="28"/>
          <w:szCs w:val="28"/>
          <w:highlight w:val="none"/>
          <w:u w:val="single"/>
        </w:rPr>
        <w:t xml:space="preserve"> 　　　　 　　</w:t>
      </w:r>
      <w:r>
        <w:rPr>
          <w:rFonts w:ascii="宋体" w:hAnsi="宋体"/>
          <w:color w:val="auto"/>
          <w:w w:val="99"/>
          <w:kern w:val="0"/>
          <w:sz w:val="28"/>
          <w:szCs w:val="28"/>
          <w:highlight w:val="none"/>
        </w:rPr>
        <w:t>（盖单位</w:t>
      </w:r>
      <w:r>
        <w:rPr>
          <w:rFonts w:hint="eastAsia" w:ascii="宋体" w:hAnsi="宋体"/>
          <w:color w:val="auto"/>
          <w:w w:val="99"/>
          <w:kern w:val="0"/>
          <w:sz w:val="28"/>
          <w:szCs w:val="28"/>
          <w:highlight w:val="none"/>
        </w:rPr>
        <w:t>公</w:t>
      </w:r>
      <w:r>
        <w:rPr>
          <w:rFonts w:ascii="宋体" w:hAnsi="宋体"/>
          <w:color w:val="auto"/>
          <w:w w:val="99"/>
          <w:kern w:val="0"/>
          <w:sz w:val="28"/>
          <w:szCs w:val="28"/>
          <w:highlight w:val="none"/>
        </w:rPr>
        <w:t>章）</w:t>
      </w:r>
    </w:p>
    <w:p>
      <w:pPr>
        <w:tabs>
          <w:tab w:val="left" w:pos="6080"/>
          <w:tab w:val="left" w:pos="6640"/>
        </w:tabs>
        <w:autoSpaceDE w:val="0"/>
        <w:autoSpaceDN w:val="0"/>
        <w:adjustRightInd w:val="0"/>
        <w:snapToGrid w:val="0"/>
        <w:spacing w:after="160" w:afterLines="50" w:line="360" w:lineRule="auto"/>
        <w:jc w:val="center"/>
        <w:rPr>
          <w:rFonts w:ascii="宋体" w:hAnsi="宋体"/>
          <w:color w:val="auto"/>
          <w:kern w:val="0"/>
          <w:sz w:val="28"/>
          <w:szCs w:val="28"/>
          <w:highlight w:val="none"/>
        </w:rPr>
      </w:pPr>
      <w:r>
        <w:rPr>
          <w:rFonts w:ascii="宋体" w:hAnsi="宋体"/>
          <w:color w:val="auto"/>
          <w:w w:val="99"/>
          <w:kern w:val="0"/>
          <w:sz w:val="28"/>
          <w:szCs w:val="28"/>
          <w:highlight w:val="none"/>
        </w:rPr>
        <w:t>法定代表人或其委托代理人：</w:t>
      </w:r>
      <w:r>
        <w:rPr>
          <w:rFonts w:ascii="宋体" w:hAnsi="宋体"/>
          <w:color w:val="auto"/>
          <w:w w:val="198"/>
          <w:kern w:val="0"/>
          <w:sz w:val="28"/>
          <w:szCs w:val="28"/>
          <w:highlight w:val="none"/>
          <w:u w:val="single"/>
        </w:rPr>
        <w:t xml:space="preserve"> 　　 </w:t>
      </w:r>
      <w:r>
        <w:rPr>
          <w:rFonts w:ascii="宋体" w:hAnsi="宋体"/>
          <w:color w:val="auto"/>
          <w:w w:val="99"/>
          <w:kern w:val="0"/>
          <w:sz w:val="28"/>
          <w:szCs w:val="28"/>
          <w:highlight w:val="none"/>
        </w:rPr>
        <w:t>（签字或盖章）</w:t>
      </w:r>
    </w:p>
    <w:p>
      <w:pPr>
        <w:autoSpaceDE w:val="0"/>
        <w:autoSpaceDN w:val="0"/>
        <w:adjustRightInd w:val="0"/>
        <w:snapToGrid w:val="0"/>
        <w:spacing w:line="360" w:lineRule="auto"/>
        <w:jc w:val="center"/>
        <w:rPr>
          <w:rFonts w:ascii="宋体" w:hAnsi="宋体"/>
          <w:color w:val="auto"/>
          <w:kern w:val="0"/>
          <w:sz w:val="36"/>
          <w:szCs w:val="36"/>
          <w:highlight w:val="none"/>
        </w:rPr>
      </w:pPr>
      <w:r>
        <w:rPr>
          <w:rFonts w:hint="eastAsia" w:ascii="宋体" w:hAnsi="宋体"/>
          <w:color w:val="auto"/>
          <w:w w:val="99"/>
          <w:kern w:val="0"/>
          <w:sz w:val="28"/>
          <w:szCs w:val="28"/>
          <w:highlight w:val="none"/>
          <w:u w:val="single"/>
        </w:rPr>
        <w:t xml:space="preserve">      </w:t>
      </w:r>
      <w:r>
        <w:rPr>
          <w:rFonts w:hint="eastAsia" w:ascii="宋体" w:hAnsi="宋体"/>
          <w:color w:val="auto"/>
          <w:w w:val="99"/>
          <w:kern w:val="0"/>
          <w:sz w:val="28"/>
          <w:szCs w:val="28"/>
          <w:highlight w:val="none"/>
        </w:rPr>
        <w:t>年</w:t>
      </w:r>
      <w:r>
        <w:rPr>
          <w:rFonts w:hint="eastAsia" w:ascii="宋体" w:hAnsi="宋体"/>
          <w:color w:val="auto"/>
          <w:w w:val="99"/>
          <w:kern w:val="0"/>
          <w:sz w:val="28"/>
          <w:szCs w:val="28"/>
          <w:highlight w:val="none"/>
          <w:u w:val="single"/>
        </w:rPr>
        <w:t xml:space="preserve">    </w:t>
      </w:r>
      <w:r>
        <w:rPr>
          <w:rFonts w:hint="eastAsia" w:ascii="宋体" w:hAnsi="宋体"/>
          <w:color w:val="auto"/>
          <w:w w:val="99"/>
          <w:kern w:val="0"/>
          <w:sz w:val="28"/>
          <w:szCs w:val="28"/>
          <w:highlight w:val="none"/>
        </w:rPr>
        <w:t>月</w:t>
      </w:r>
      <w:r>
        <w:rPr>
          <w:rFonts w:hint="eastAsia" w:ascii="宋体" w:hAnsi="宋体"/>
          <w:color w:val="auto"/>
          <w:w w:val="99"/>
          <w:kern w:val="0"/>
          <w:sz w:val="28"/>
          <w:szCs w:val="28"/>
          <w:highlight w:val="none"/>
          <w:u w:val="single"/>
        </w:rPr>
        <w:t xml:space="preserve">    </w:t>
      </w:r>
      <w:r>
        <w:rPr>
          <w:rFonts w:hint="eastAsia" w:ascii="宋体" w:hAnsi="宋体"/>
          <w:color w:val="auto"/>
          <w:w w:val="99"/>
          <w:kern w:val="0"/>
          <w:sz w:val="28"/>
          <w:szCs w:val="28"/>
          <w:highlight w:val="none"/>
        </w:rPr>
        <w:t>日</w:t>
      </w:r>
      <w:r>
        <w:rPr>
          <w:rFonts w:ascii="宋体" w:hAnsi="宋体"/>
          <w:color w:val="auto"/>
          <w:kern w:val="0"/>
          <w:sz w:val="24"/>
          <w:szCs w:val="21"/>
          <w:highlight w:val="none"/>
        </w:rPr>
        <w:br w:type="page"/>
      </w:r>
      <w:r>
        <w:rPr>
          <w:rFonts w:hint="eastAsia" w:ascii="宋体" w:hAnsi="宋体"/>
          <w:color w:val="auto"/>
          <w:kern w:val="0"/>
          <w:sz w:val="36"/>
          <w:szCs w:val="36"/>
          <w:highlight w:val="none"/>
        </w:rPr>
        <w:t>目  录</w:t>
      </w:r>
    </w:p>
    <w:p>
      <w:pPr>
        <w:rPr>
          <w:color w:val="auto"/>
          <w:highlight w:val="none"/>
        </w:rPr>
      </w:pPr>
    </w:p>
    <w:p>
      <w:pPr>
        <w:spacing w:line="360" w:lineRule="auto"/>
        <w:rPr>
          <w:rFonts w:hint="eastAsia" w:ascii="宋体" w:hAnsi="宋体"/>
          <w:bCs/>
          <w:color w:val="auto"/>
          <w:highlight w:val="none"/>
        </w:rPr>
      </w:pPr>
      <w:r>
        <w:rPr>
          <w:rFonts w:hint="eastAsia" w:ascii="宋体" w:hAnsi="宋体"/>
          <w:bCs/>
          <w:color w:val="auto"/>
          <w:highlight w:val="none"/>
        </w:rPr>
        <w:t>1.</w:t>
      </w:r>
      <w:r>
        <w:rPr>
          <w:rFonts w:hint="eastAsia" w:ascii="宋体" w:hAnsi="宋体"/>
          <w:bCs/>
          <w:color w:val="auto"/>
          <w:highlight w:val="none"/>
          <w:lang w:eastAsia="zh-CN"/>
        </w:rPr>
        <w:t>参选</w:t>
      </w:r>
      <w:r>
        <w:rPr>
          <w:rFonts w:hint="eastAsia" w:ascii="宋体" w:hAnsi="宋体"/>
          <w:bCs/>
          <w:color w:val="auto"/>
          <w:highlight w:val="none"/>
        </w:rPr>
        <w:t>函</w:t>
      </w:r>
    </w:p>
    <w:p>
      <w:pPr>
        <w:spacing w:line="360" w:lineRule="auto"/>
        <w:rPr>
          <w:rFonts w:ascii="宋体" w:hAnsi="宋体"/>
          <w:bCs/>
          <w:color w:val="auto"/>
          <w:highlight w:val="none"/>
        </w:rPr>
      </w:pPr>
      <w:r>
        <w:rPr>
          <w:rFonts w:hint="eastAsia" w:ascii="宋体" w:hAnsi="宋体"/>
          <w:bCs/>
          <w:color w:val="auto"/>
          <w:highlight w:val="none"/>
        </w:rPr>
        <w:t>2.</w:t>
      </w:r>
      <w:r>
        <w:rPr>
          <w:rFonts w:ascii="宋体" w:hAnsi="宋体"/>
          <w:bCs/>
          <w:color w:val="auto"/>
          <w:highlight w:val="none"/>
        </w:rPr>
        <w:t>法定代表人身份证明及授权委托书</w:t>
      </w:r>
    </w:p>
    <w:p>
      <w:pPr>
        <w:spacing w:line="360" w:lineRule="auto"/>
        <w:rPr>
          <w:rFonts w:ascii="宋体" w:hAnsi="宋体"/>
          <w:bCs/>
          <w:color w:val="auto"/>
          <w:highlight w:val="none"/>
        </w:rPr>
      </w:pPr>
    </w:p>
    <w:p>
      <w:pPr>
        <w:autoSpaceDE w:val="0"/>
        <w:autoSpaceDN w:val="0"/>
        <w:adjustRightInd w:val="0"/>
        <w:spacing w:line="360" w:lineRule="auto"/>
        <w:ind w:firstLine="480" w:firstLineChars="200"/>
        <w:jc w:val="left"/>
        <w:rPr>
          <w:rFonts w:ascii="宋体" w:hAnsi="宋体"/>
          <w:color w:val="auto"/>
          <w:kern w:val="0"/>
          <w:sz w:val="24"/>
          <w:highlight w:val="none"/>
        </w:rPr>
      </w:pPr>
    </w:p>
    <w:p>
      <w:pPr>
        <w:autoSpaceDE w:val="0"/>
        <w:autoSpaceDN w:val="0"/>
        <w:adjustRightInd w:val="0"/>
        <w:spacing w:line="360" w:lineRule="auto"/>
        <w:ind w:firstLine="480" w:firstLineChars="200"/>
        <w:jc w:val="left"/>
        <w:rPr>
          <w:rFonts w:ascii="宋体" w:hAnsi="宋体"/>
          <w:color w:val="auto"/>
          <w:kern w:val="0"/>
          <w:sz w:val="24"/>
          <w:highlight w:val="none"/>
        </w:rPr>
      </w:pPr>
    </w:p>
    <w:p>
      <w:pPr>
        <w:autoSpaceDE w:val="0"/>
        <w:autoSpaceDN w:val="0"/>
        <w:adjustRightInd w:val="0"/>
        <w:spacing w:line="360" w:lineRule="auto"/>
        <w:ind w:firstLine="480" w:firstLineChars="200"/>
        <w:jc w:val="left"/>
        <w:rPr>
          <w:rFonts w:ascii="宋体" w:hAnsi="宋体"/>
          <w:color w:val="auto"/>
          <w:kern w:val="0"/>
          <w:sz w:val="24"/>
          <w:highlight w:val="none"/>
        </w:rPr>
      </w:pPr>
    </w:p>
    <w:p>
      <w:pPr>
        <w:autoSpaceDE w:val="0"/>
        <w:autoSpaceDN w:val="0"/>
        <w:adjustRightInd w:val="0"/>
        <w:snapToGrid w:val="0"/>
        <w:spacing w:line="360" w:lineRule="auto"/>
        <w:jc w:val="left"/>
        <w:rPr>
          <w:rFonts w:ascii="宋体" w:hAnsi="宋体"/>
          <w:color w:val="auto"/>
          <w:kern w:val="0"/>
          <w:szCs w:val="21"/>
          <w:highlight w:val="none"/>
        </w:rPr>
      </w:pPr>
    </w:p>
    <w:p>
      <w:pPr>
        <w:autoSpaceDE w:val="0"/>
        <w:autoSpaceDN w:val="0"/>
        <w:adjustRightInd w:val="0"/>
        <w:snapToGrid w:val="0"/>
        <w:spacing w:line="360" w:lineRule="auto"/>
        <w:jc w:val="left"/>
        <w:rPr>
          <w:rFonts w:ascii="宋体" w:hAnsi="宋体"/>
          <w:color w:val="auto"/>
          <w:kern w:val="0"/>
          <w:szCs w:val="21"/>
          <w:highlight w:val="none"/>
        </w:rPr>
      </w:pPr>
    </w:p>
    <w:p>
      <w:pPr>
        <w:autoSpaceDE w:val="0"/>
        <w:autoSpaceDN w:val="0"/>
        <w:adjustRightInd w:val="0"/>
        <w:snapToGrid w:val="0"/>
        <w:spacing w:line="360" w:lineRule="auto"/>
        <w:jc w:val="left"/>
        <w:rPr>
          <w:rFonts w:ascii="宋体" w:hAnsi="宋体"/>
          <w:color w:val="auto"/>
          <w:kern w:val="0"/>
          <w:szCs w:val="21"/>
          <w:highlight w:val="none"/>
        </w:rPr>
      </w:pPr>
    </w:p>
    <w:p>
      <w:pPr>
        <w:autoSpaceDE w:val="0"/>
        <w:autoSpaceDN w:val="0"/>
        <w:adjustRightInd w:val="0"/>
        <w:snapToGrid w:val="0"/>
        <w:spacing w:line="360" w:lineRule="auto"/>
        <w:jc w:val="left"/>
        <w:rPr>
          <w:rFonts w:ascii="宋体" w:hAnsi="宋体"/>
          <w:color w:val="auto"/>
          <w:kern w:val="0"/>
          <w:highlight w:val="none"/>
        </w:rPr>
      </w:pPr>
    </w:p>
    <w:p>
      <w:pPr>
        <w:autoSpaceDE w:val="0"/>
        <w:autoSpaceDN w:val="0"/>
        <w:adjustRightInd w:val="0"/>
        <w:snapToGrid w:val="0"/>
        <w:spacing w:line="360" w:lineRule="auto"/>
        <w:jc w:val="left"/>
        <w:rPr>
          <w:rFonts w:ascii="宋体" w:hAnsi="宋体"/>
          <w:color w:val="auto"/>
          <w:kern w:val="0"/>
          <w:highlight w:val="none"/>
        </w:rPr>
      </w:pPr>
    </w:p>
    <w:p>
      <w:pPr>
        <w:autoSpaceDE w:val="0"/>
        <w:autoSpaceDN w:val="0"/>
        <w:adjustRightInd w:val="0"/>
        <w:snapToGrid w:val="0"/>
        <w:spacing w:line="360" w:lineRule="auto"/>
        <w:jc w:val="left"/>
        <w:rPr>
          <w:rFonts w:ascii="宋体" w:hAnsi="宋体"/>
          <w:color w:val="auto"/>
          <w:kern w:val="0"/>
          <w:highlight w:val="none"/>
        </w:rPr>
      </w:pPr>
    </w:p>
    <w:p>
      <w:pPr>
        <w:autoSpaceDE w:val="0"/>
        <w:autoSpaceDN w:val="0"/>
        <w:adjustRightInd w:val="0"/>
        <w:snapToGrid w:val="0"/>
        <w:spacing w:line="360" w:lineRule="auto"/>
        <w:jc w:val="left"/>
        <w:rPr>
          <w:rFonts w:ascii="宋体" w:hAnsi="宋体"/>
          <w:color w:val="auto"/>
          <w:kern w:val="0"/>
          <w:highlight w:val="none"/>
        </w:rPr>
      </w:pPr>
    </w:p>
    <w:p>
      <w:pPr>
        <w:autoSpaceDE w:val="0"/>
        <w:autoSpaceDN w:val="0"/>
        <w:adjustRightInd w:val="0"/>
        <w:snapToGrid w:val="0"/>
        <w:spacing w:line="360" w:lineRule="auto"/>
        <w:jc w:val="left"/>
        <w:rPr>
          <w:rFonts w:ascii="宋体" w:hAnsi="宋体"/>
          <w:color w:val="auto"/>
          <w:kern w:val="0"/>
          <w:highlight w:val="none"/>
        </w:rPr>
      </w:pPr>
    </w:p>
    <w:p>
      <w:pPr>
        <w:autoSpaceDE w:val="0"/>
        <w:autoSpaceDN w:val="0"/>
        <w:adjustRightInd w:val="0"/>
        <w:snapToGrid w:val="0"/>
        <w:spacing w:line="360" w:lineRule="auto"/>
        <w:jc w:val="left"/>
        <w:rPr>
          <w:rFonts w:ascii="宋体" w:hAnsi="宋体"/>
          <w:color w:val="auto"/>
          <w:kern w:val="0"/>
          <w:highlight w:val="none"/>
        </w:rPr>
      </w:pPr>
    </w:p>
    <w:p>
      <w:pPr>
        <w:autoSpaceDE w:val="0"/>
        <w:autoSpaceDN w:val="0"/>
        <w:adjustRightInd w:val="0"/>
        <w:snapToGrid w:val="0"/>
        <w:spacing w:line="360" w:lineRule="auto"/>
        <w:jc w:val="left"/>
        <w:rPr>
          <w:rFonts w:ascii="宋体" w:hAnsi="宋体"/>
          <w:color w:val="auto"/>
          <w:kern w:val="0"/>
          <w:highlight w:val="none"/>
        </w:rPr>
      </w:pPr>
    </w:p>
    <w:p>
      <w:pPr>
        <w:autoSpaceDE w:val="0"/>
        <w:autoSpaceDN w:val="0"/>
        <w:adjustRightInd w:val="0"/>
        <w:snapToGrid w:val="0"/>
        <w:spacing w:line="360" w:lineRule="auto"/>
        <w:jc w:val="left"/>
        <w:rPr>
          <w:rFonts w:ascii="宋体" w:hAnsi="宋体"/>
          <w:color w:val="auto"/>
          <w:kern w:val="0"/>
          <w:highlight w:val="none"/>
        </w:rPr>
      </w:pPr>
    </w:p>
    <w:p>
      <w:pPr>
        <w:autoSpaceDE w:val="0"/>
        <w:autoSpaceDN w:val="0"/>
        <w:adjustRightInd w:val="0"/>
        <w:snapToGrid w:val="0"/>
        <w:spacing w:line="360" w:lineRule="auto"/>
        <w:jc w:val="left"/>
        <w:rPr>
          <w:rFonts w:ascii="宋体" w:hAnsi="宋体"/>
          <w:color w:val="auto"/>
          <w:w w:val="99"/>
          <w:kern w:val="0"/>
          <w:sz w:val="28"/>
          <w:szCs w:val="28"/>
          <w:highlight w:val="none"/>
        </w:rPr>
      </w:pPr>
    </w:p>
    <w:p>
      <w:pPr>
        <w:autoSpaceDE w:val="0"/>
        <w:autoSpaceDN w:val="0"/>
        <w:adjustRightInd w:val="0"/>
        <w:snapToGrid w:val="0"/>
        <w:spacing w:line="360" w:lineRule="auto"/>
        <w:jc w:val="left"/>
        <w:rPr>
          <w:rFonts w:ascii="宋体" w:hAnsi="宋体"/>
          <w:color w:val="auto"/>
          <w:w w:val="99"/>
          <w:kern w:val="0"/>
          <w:sz w:val="28"/>
          <w:szCs w:val="28"/>
          <w:highlight w:val="none"/>
        </w:rPr>
      </w:pPr>
    </w:p>
    <w:p>
      <w:pPr>
        <w:autoSpaceDE w:val="0"/>
        <w:autoSpaceDN w:val="0"/>
        <w:adjustRightInd w:val="0"/>
        <w:snapToGrid w:val="0"/>
        <w:spacing w:line="360" w:lineRule="auto"/>
        <w:jc w:val="left"/>
        <w:rPr>
          <w:rFonts w:ascii="宋体" w:hAnsi="宋体"/>
          <w:color w:val="auto"/>
          <w:w w:val="99"/>
          <w:kern w:val="0"/>
          <w:sz w:val="28"/>
          <w:szCs w:val="28"/>
          <w:highlight w:val="none"/>
        </w:rPr>
      </w:pPr>
    </w:p>
    <w:p>
      <w:pPr>
        <w:autoSpaceDE w:val="0"/>
        <w:autoSpaceDN w:val="0"/>
        <w:adjustRightInd w:val="0"/>
        <w:snapToGrid w:val="0"/>
        <w:spacing w:line="360" w:lineRule="auto"/>
        <w:jc w:val="left"/>
        <w:rPr>
          <w:rFonts w:ascii="宋体" w:hAnsi="宋体"/>
          <w:color w:val="auto"/>
          <w:w w:val="99"/>
          <w:kern w:val="0"/>
          <w:sz w:val="28"/>
          <w:szCs w:val="28"/>
          <w:highlight w:val="none"/>
        </w:rPr>
      </w:pPr>
    </w:p>
    <w:p>
      <w:pPr>
        <w:snapToGrid w:val="0"/>
        <w:spacing w:line="360" w:lineRule="auto"/>
        <w:jc w:val="center"/>
        <w:outlineLvl w:val="2"/>
        <w:rPr>
          <w:rFonts w:hint="eastAsia" w:ascii="宋体" w:hAnsi="宋体"/>
          <w:b/>
          <w:color w:val="auto"/>
          <w:highlight w:val="none"/>
        </w:rPr>
      </w:pPr>
      <w:bookmarkStart w:id="66" w:name="_Toc287620814"/>
      <w:bookmarkStart w:id="67" w:name="_Toc430530530"/>
      <w:bookmarkStart w:id="68" w:name="_Toc224103495"/>
      <w:bookmarkStart w:id="69" w:name="_Toc287607867"/>
      <w:bookmarkStart w:id="70" w:name="_Toc534185831"/>
      <w:bookmarkStart w:id="71" w:name="_Toc277082643"/>
      <w:bookmarkStart w:id="72" w:name="_Toc509218854"/>
      <w:r>
        <w:rPr>
          <w:rFonts w:ascii="宋体" w:hAnsi="宋体"/>
          <w:color w:val="auto"/>
          <w:highlight w:val="none"/>
        </w:rPr>
        <w:br w:type="page"/>
      </w:r>
      <w:bookmarkEnd w:id="66"/>
      <w:bookmarkEnd w:id="67"/>
      <w:bookmarkEnd w:id="68"/>
      <w:bookmarkEnd w:id="69"/>
      <w:bookmarkEnd w:id="70"/>
      <w:bookmarkEnd w:id="71"/>
      <w:bookmarkEnd w:id="72"/>
      <w:bookmarkStart w:id="73" w:name="_Toc14234"/>
      <w:bookmarkStart w:id="74" w:name="_Toc29416"/>
      <w:r>
        <w:rPr>
          <w:rFonts w:hint="eastAsia" w:ascii="宋体" w:hAnsi="宋体"/>
          <w:b/>
          <w:bCs/>
          <w:snapToGrid w:val="0"/>
          <w:color w:val="auto"/>
          <w:kern w:val="0"/>
          <w:sz w:val="28"/>
          <w:szCs w:val="28"/>
          <w:highlight w:val="none"/>
        </w:rPr>
        <w:t>1.</w:t>
      </w:r>
      <w:bookmarkEnd w:id="73"/>
      <w:bookmarkEnd w:id="74"/>
      <w:r>
        <w:rPr>
          <w:rFonts w:hint="eastAsia" w:ascii="宋体" w:hAnsi="宋体"/>
          <w:b/>
          <w:bCs/>
          <w:snapToGrid w:val="0"/>
          <w:color w:val="auto"/>
          <w:kern w:val="0"/>
          <w:sz w:val="28"/>
          <w:szCs w:val="28"/>
          <w:highlight w:val="none"/>
          <w:lang w:eastAsia="zh-CN"/>
        </w:rPr>
        <w:t>参选</w:t>
      </w:r>
      <w:r>
        <w:rPr>
          <w:rFonts w:hint="eastAsia" w:ascii="宋体" w:hAnsi="宋体"/>
          <w:b/>
          <w:bCs/>
          <w:snapToGrid w:val="0"/>
          <w:color w:val="auto"/>
          <w:kern w:val="0"/>
          <w:sz w:val="28"/>
          <w:szCs w:val="28"/>
          <w:highlight w:val="none"/>
        </w:rPr>
        <w:t>函</w:t>
      </w:r>
    </w:p>
    <w:p>
      <w:pPr>
        <w:tabs>
          <w:tab w:val="left" w:pos="2640"/>
        </w:tabs>
        <w:autoSpaceDE w:val="0"/>
        <w:autoSpaceDN w:val="0"/>
        <w:adjustRightInd w:val="0"/>
        <w:spacing w:line="360" w:lineRule="auto"/>
        <w:rPr>
          <w:rFonts w:ascii="宋体" w:hAnsi="宋体"/>
          <w:snapToGrid w:val="0"/>
          <w:color w:val="auto"/>
          <w:kern w:val="0"/>
          <w:szCs w:val="21"/>
          <w:highlight w:val="none"/>
        </w:rPr>
      </w:pPr>
      <w:bookmarkStart w:id="75" w:name="_Toc15801"/>
      <w:bookmarkStart w:id="76" w:name="_Toc22723"/>
      <w:r>
        <w:rPr>
          <w:rFonts w:ascii="宋体" w:hAnsi="宋体"/>
          <w:snapToGrid w:val="0"/>
          <w:color w:val="auto"/>
          <w:kern w:val="0"/>
          <w:szCs w:val="21"/>
          <w:highlight w:val="none"/>
          <w:u w:val="single"/>
        </w:rPr>
        <w:tab/>
      </w:r>
      <w:r>
        <w:rPr>
          <w:rFonts w:ascii="宋体" w:hAnsi="宋体"/>
          <w:snapToGrid w:val="0"/>
          <w:color w:val="auto"/>
          <w:kern w:val="0"/>
          <w:szCs w:val="21"/>
          <w:highlight w:val="none"/>
        </w:rPr>
        <w:t>（比选人名称）：</w:t>
      </w:r>
    </w:p>
    <w:p>
      <w:pPr>
        <w:numPr>
          <w:ilvl w:val="0"/>
          <w:numId w:val="2"/>
        </w:numPr>
        <w:tabs>
          <w:tab w:val="left" w:pos="2655"/>
          <w:tab w:val="left" w:pos="3520"/>
          <w:tab w:val="left" w:pos="4620"/>
          <w:tab w:val="left" w:pos="4920"/>
          <w:tab w:val="left" w:pos="5715"/>
          <w:tab w:val="left" w:pos="6945"/>
          <w:tab w:val="left" w:pos="7980"/>
        </w:tabs>
        <w:autoSpaceDE w:val="0"/>
        <w:autoSpaceDN w:val="0"/>
        <w:adjustRightIn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我方已仔细研究了</w:t>
      </w:r>
      <w:r>
        <w:rPr>
          <w:rFonts w:ascii="宋体" w:hAnsi="宋体"/>
          <w:snapToGrid w:val="0"/>
          <w:color w:val="auto"/>
          <w:kern w:val="0"/>
          <w:szCs w:val="21"/>
          <w:highlight w:val="none"/>
          <w:u w:val="single"/>
        </w:rPr>
        <w:tab/>
      </w:r>
      <w:r>
        <w:rPr>
          <w:rFonts w:hint="eastAsia"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lang w:val="en-US" w:eastAsia="zh-CN"/>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rPr>
        <w:t>（项目名称）</w:t>
      </w:r>
      <w:r>
        <w:rPr>
          <w:rFonts w:hint="eastAsia" w:ascii="宋体" w:hAnsi="宋体"/>
          <w:snapToGrid w:val="0"/>
          <w:color w:val="auto"/>
          <w:kern w:val="0"/>
          <w:szCs w:val="21"/>
          <w:highlight w:val="none"/>
          <w:lang w:eastAsia="zh-CN"/>
        </w:rPr>
        <w:t>公开</w:t>
      </w:r>
      <w:r>
        <w:rPr>
          <w:rFonts w:ascii="宋体" w:hAnsi="宋体"/>
          <w:snapToGrid w:val="0"/>
          <w:color w:val="auto"/>
          <w:kern w:val="0"/>
          <w:szCs w:val="21"/>
          <w:highlight w:val="none"/>
        </w:rPr>
        <w:t>比选文件的全部内容，愿意以人民币</w:t>
      </w:r>
      <w:r>
        <w:rPr>
          <w:rFonts w:hint="eastAsia" w:ascii="宋体" w:hAnsi="宋体"/>
          <w:snapToGrid w:val="0"/>
          <w:color w:val="auto"/>
          <w:kern w:val="0"/>
          <w:szCs w:val="21"/>
          <w:highlight w:val="none"/>
          <w:lang w:val="en-US" w:eastAsia="zh-CN"/>
        </w:rPr>
        <w:t xml:space="preserve"> </w:t>
      </w:r>
      <w:r>
        <w:rPr>
          <w:rFonts w:hint="eastAsia" w:ascii="宋体" w:hAnsi="宋体"/>
          <w:snapToGrid w:val="0"/>
          <w:color w:val="auto"/>
          <w:kern w:val="0"/>
          <w:szCs w:val="21"/>
          <w:highlight w:val="none"/>
          <w:u w:val="single"/>
          <w:lang w:val="en-US" w:eastAsia="zh-CN"/>
        </w:rPr>
        <w:t xml:space="preserve">         </w:t>
      </w:r>
      <w:r>
        <w:rPr>
          <w:rFonts w:hint="eastAsia" w:ascii="宋体" w:hAnsi="宋体"/>
          <w:snapToGrid w:val="0"/>
          <w:color w:val="auto"/>
          <w:kern w:val="0"/>
          <w:szCs w:val="21"/>
          <w:highlight w:val="none"/>
          <w:u w:val="none"/>
          <w:lang w:val="en-US" w:eastAsia="zh-CN"/>
        </w:rPr>
        <w:t>元</w:t>
      </w:r>
      <w:r>
        <w:rPr>
          <w:rFonts w:ascii="宋体" w:hAnsi="宋体"/>
          <w:snapToGrid w:val="0"/>
          <w:color w:val="auto"/>
          <w:kern w:val="0"/>
          <w:szCs w:val="21"/>
          <w:highlight w:val="none"/>
        </w:rPr>
        <w:t>（大写</w:t>
      </w:r>
      <w:r>
        <w:rPr>
          <w:rFonts w:hint="eastAsia" w:ascii="宋体" w:hAnsi="宋体"/>
          <w:snapToGrid w:val="0"/>
          <w:color w:val="auto"/>
          <w:kern w:val="0"/>
          <w:szCs w:val="21"/>
          <w:highlight w:val="none"/>
          <w:u w:val="single"/>
          <w:lang w:val="en-US" w:eastAsia="zh-CN"/>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rPr>
        <w:t>）</w:t>
      </w:r>
      <w:r>
        <w:rPr>
          <w:rFonts w:hint="eastAsia" w:ascii="宋体" w:hAnsi="宋体"/>
          <w:snapToGrid w:val="0"/>
          <w:color w:val="auto"/>
          <w:kern w:val="0"/>
          <w:szCs w:val="21"/>
          <w:highlight w:val="none"/>
        </w:rPr>
        <w:t>的</w:t>
      </w:r>
      <w:r>
        <w:rPr>
          <w:rFonts w:hint="eastAsia" w:ascii="宋体" w:hAnsi="宋体"/>
          <w:snapToGrid w:val="0"/>
          <w:color w:val="auto"/>
          <w:kern w:val="0"/>
          <w:szCs w:val="21"/>
          <w:highlight w:val="none"/>
          <w:lang w:eastAsia="zh-CN"/>
        </w:rPr>
        <w:t>参选</w:t>
      </w:r>
      <w:r>
        <w:rPr>
          <w:rFonts w:ascii="宋体" w:hAnsi="宋体"/>
          <w:snapToGrid w:val="0"/>
          <w:color w:val="auto"/>
          <w:kern w:val="0"/>
          <w:szCs w:val="21"/>
          <w:highlight w:val="none"/>
        </w:rPr>
        <w:t>总报价</w:t>
      </w:r>
      <w:r>
        <w:rPr>
          <w:rFonts w:hint="eastAsia" w:ascii="宋体" w:hAnsi="宋体"/>
          <w:snapToGrid w:val="0"/>
          <w:color w:val="auto"/>
          <w:kern w:val="0"/>
          <w:szCs w:val="21"/>
          <w:highlight w:val="none"/>
          <w:lang w:val="en-US" w:eastAsia="zh-CN"/>
        </w:rPr>
        <w:t>作为2026年重庆之夜·国际光影文化旅游季总策划编制的总费用</w:t>
      </w:r>
      <w:r>
        <w:rPr>
          <w:rFonts w:hint="eastAsia" w:ascii="宋体" w:hAnsi="宋体"/>
          <w:snapToGrid w:val="0"/>
          <w:color w:val="auto"/>
          <w:kern w:val="0"/>
          <w:szCs w:val="21"/>
          <w:highlight w:val="none"/>
          <w:u w:val="none"/>
          <w:lang w:val="en-US" w:eastAsia="zh-CN"/>
        </w:rPr>
        <w:t>，</w:t>
      </w:r>
      <w:r>
        <w:rPr>
          <w:rFonts w:hint="eastAsia"/>
          <w:color w:val="000000"/>
          <w:szCs w:val="21"/>
        </w:rPr>
        <w:t>费用包含</w:t>
      </w:r>
      <w:r>
        <w:rPr>
          <w:rFonts w:hint="eastAsia"/>
          <w:color w:val="000000"/>
          <w:szCs w:val="21"/>
          <w:lang w:val="en-US" w:eastAsia="zh-CN"/>
        </w:rPr>
        <w:t>完成总策划编制内容所需的所有费用，包括但不限于总策划方案文本编制、编制、会议汇报及评审、方案文本修改的费用，嘉宾邀请的沟通、对接、协调、邀约的费用，物料设计及制作的人工、材料、设计、制作等费用，税费等所有费用。具体单项报价如下：</w:t>
      </w:r>
    </w:p>
    <w:tbl>
      <w:tblPr>
        <w:tblStyle w:val="54"/>
        <w:tblW w:w="98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58"/>
        <w:gridCol w:w="475"/>
        <w:gridCol w:w="463"/>
        <w:gridCol w:w="1344"/>
        <w:gridCol w:w="2212"/>
        <w:gridCol w:w="1263"/>
        <w:gridCol w:w="837"/>
        <w:gridCol w:w="700"/>
        <w:gridCol w:w="21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81" w:type="pct"/>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序号</w:t>
            </w:r>
          </w:p>
        </w:tc>
        <w:tc>
          <w:tcPr>
            <w:tcW w:w="241" w:type="pct"/>
            <w:tcBorders>
              <w:top w:val="nil"/>
              <w:left w:val="single" w:color="000000" w:sz="4" w:space="0"/>
              <w:bottom w:val="single" w:color="000000" w:sz="4" w:space="0"/>
              <w:right w:val="single" w:color="000000" w:sz="4" w:space="0"/>
            </w:tcBorders>
            <w:shd w:val="clear" w:color="auto" w:fill="A6A6A6"/>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策划内容</w:t>
            </w:r>
          </w:p>
        </w:tc>
        <w:tc>
          <w:tcPr>
            <w:tcW w:w="918" w:type="pct"/>
            <w:gridSpan w:val="2"/>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具体内容</w:t>
            </w:r>
          </w:p>
        </w:tc>
        <w:tc>
          <w:tcPr>
            <w:tcW w:w="1123" w:type="pct"/>
            <w:tcBorders>
              <w:top w:val="nil"/>
              <w:left w:val="single" w:color="000000" w:sz="4" w:space="0"/>
              <w:bottom w:val="single" w:color="000000" w:sz="4" w:space="0"/>
              <w:right w:val="single" w:color="000000" w:sz="4" w:space="0"/>
            </w:tcBorders>
            <w:shd w:val="clear" w:color="auto" w:fill="A6A6A6"/>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要求</w:t>
            </w:r>
          </w:p>
        </w:tc>
        <w:tc>
          <w:tcPr>
            <w:tcW w:w="641" w:type="pct"/>
            <w:tcBorders>
              <w:top w:val="nil"/>
              <w:left w:val="single" w:color="000000" w:sz="4" w:space="0"/>
              <w:bottom w:val="single" w:color="000000" w:sz="4" w:space="0"/>
              <w:right w:val="nil"/>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kern w:val="0"/>
                <w:sz w:val="18"/>
                <w:szCs w:val="18"/>
                <w:u w:val="none"/>
                <w:lang w:val="en-US" w:eastAsia="zh-CN" w:bidi="ar"/>
              </w:rPr>
            </w:pPr>
            <w:r>
              <w:rPr>
                <w:rFonts w:hint="eastAsia" w:ascii="方正仿宋_GBK" w:hAnsi="方正仿宋_GBK" w:eastAsia="方正仿宋_GBK" w:cs="方正仿宋_GBK"/>
                <w:b/>
                <w:bCs/>
                <w:i w:val="0"/>
                <w:iCs w:val="0"/>
                <w:color w:val="000000"/>
                <w:kern w:val="0"/>
                <w:sz w:val="18"/>
                <w:szCs w:val="18"/>
                <w:u w:val="none"/>
                <w:lang w:val="en-US" w:eastAsia="zh-CN" w:bidi="ar"/>
              </w:rPr>
              <w:t>单项报价</w:t>
            </w:r>
          </w:p>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（元）</w:t>
            </w:r>
          </w:p>
        </w:tc>
        <w:tc>
          <w:tcPr>
            <w:tcW w:w="425" w:type="pct"/>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单位</w:t>
            </w:r>
          </w:p>
        </w:tc>
        <w:tc>
          <w:tcPr>
            <w:tcW w:w="355" w:type="pct"/>
            <w:tcBorders>
              <w:top w:val="nil"/>
              <w:left w:val="nil"/>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数量</w:t>
            </w:r>
          </w:p>
        </w:tc>
        <w:tc>
          <w:tcPr>
            <w:tcW w:w="1111" w:type="pct"/>
            <w:tcBorders>
              <w:top w:val="nil"/>
              <w:left w:val="single" w:color="000000" w:sz="4" w:space="0"/>
              <w:bottom w:val="single" w:color="000000" w:sz="4" w:space="0"/>
              <w:right w:val="single" w:color="000000" w:sz="4" w:space="0"/>
            </w:tcBorders>
            <w:shd w:val="clear" w:color="auto" w:fill="A6A6A6"/>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kern w:val="0"/>
                <w:sz w:val="18"/>
                <w:szCs w:val="18"/>
                <w:u w:val="none"/>
                <w:lang w:val="en-US" w:eastAsia="zh-CN" w:bidi="ar"/>
              </w:rPr>
            </w:pPr>
            <w:r>
              <w:rPr>
                <w:rFonts w:hint="eastAsia" w:ascii="方正仿宋_GBK" w:hAnsi="方正仿宋_GBK" w:eastAsia="方正仿宋_GBK" w:cs="方正仿宋_GBK"/>
                <w:b/>
                <w:bCs/>
                <w:i w:val="0"/>
                <w:iCs w:val="0"/>
                <w:color w:val="000000"/>
                <w:kern w:val="0"/>
                <w:sz w:val="18"/>
                <w:szCs w:val="18"/>
                <w:u w:val="none"/>
                <w:lang w:val="en-US" w:eastAsia="zh-CN" w:bidi="ar"/>
              </w:rPr>
              <w:t>单项总价</w:t>
            </w:r>
          </w:p>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b/>
                <w:bCs/>
                <w:i w:val="0"/>
                <w:iCs w:val="0"/>
                <w:color w:val="000000"/>
                <w:sz w:val="18"/>
                <w:szCs w:val="18"/>
                <w:u w:val="none"/>
              </w:rPr>
            </w:pPr>
            <w:r>
              <w:rPr>
                <w:rFonts w:hint="eastAsia" w:ascii="方正仿宋_GBK" w:hAnsi="方正仿宋_GBK" w:eastAsia="方正仿宋_GBK" w:cs="方正仿宋_GBK"/>
                <w:b/>
                <w:bCs/>
                <w:i w:val="0"/>
                <w:iCs w:val="0"/>
                <w:color w:val="000000"/>
                <w:kern w:val="0"/>
                <w:sz w:val="18"/>
                <w:szCs w:val="18"/>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8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活动策划</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1.1</w:t>
            </w:r>
          </w:p>
        </w:tc>
        <w:tc>
          <w:tcPr>
            <w:tcW w:w="682"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重庆国际光影文化旅游节顶层规划</w:t>
            </w:r>
          </w:p>
        </w:tc>
        <w:tc>
          <w:tcPr>
            <w:tcW w:w="1123"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根据旅游节整体定位及未来目标，制定本届旅游节顶层规划</w:t>
            </w:r>
          </w:p>
        </w:tc>
        <w:tc>
          <w:tcPr>
            <w:tcW w:w="641" w:type="pct"/>
            <w:tcBorders>
              <w:top w:val="nil"/>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方正仿宋_GBK" w:hAnsi="方正仿宋_GBK" w:eastAsia="方正仿宋_GBK" w:cs="方正仿宋_GBK"/>
                <w:i w:val="0"/>
                <w:iCs w:val="0"/>
                <w:color w:val="000000"/>
                <w:sz w:val="18"/>
                <w:szCs w:val="18"/>
                <w:u w:val="none"/>
                <w:lang w:val="en-US"/>
              </w:rPr>
            </w:pP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55" w:type="pct"/>
            <w:tcBorders>
              <w:top w:val="nil"/>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方正仿宋_GBK" w:hAnsi="方正仿宋_GBK" w:eastAsia="方正仿宋_GBK" w:cs="方正仿宋_GBK"/>
                <w:i w:val="0"/>
                <w:iCs w:val="0"/>
                <w:color w:val="000000"/>
                <w:sz w:val="18"/>
                <w:szCs w:val="18"/>
                <w:u w:val="none"/>
                <w:lang w:val="en-US"/>
              </w:rPr>
            </w:pPr>
            <w:r>
              <w:rPr>
                <w:rFonts w:hint="eastAsia" w:ascii="方正仿宋_GBK" w:hAnsi="方正仿宋_GBK" w:eastAsia="方正仿宋_GBK" w:cs="方正仿宋_GBK"/>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8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1.2</w:t>
            </w:r>
          </w:p>
        </w:tc>
        <w:tc>
          <w:tcPr>
            <w:tcW w:w="682"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重庆国际光影文化旅游节展览策划</w:t>
            </w:r>
          </w:p>
        </w:tc>
        <w:tc>
          <w:tcPr>
            <w:tcW w:w="1123"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包含展览策划、作品点位策划、赛事策划、宣发策划等</w:t>
            </w:r>
          </w:p>
        </w:tc>
        <w:tc>
          <w:tcPr>
            <w:tcW w:w="641" w:type="pct"/>
            <w:tcBorders>
              <w:top w:val="nil"/>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55" w:type="pct"/>
            <w:tcBorders>
              <w:top w:val="nil"/>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0" w:hRule="atLeast"/>
        </w:trPr>
        <w:tc>
          <w:tcPr>
            <w:tcW w:w="18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1.3</w:t>
            </w:r>
          </w:p>
        </w:tc>
        <w:tc>
          <w:tcPr>
            <w:tcW w:w="682" w:type="pc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 xml:space="preserve"> 重庆国际光影文化旅游节系列活动策划</w:t>
            </w:r>
          </w:p>
        </w:tc>
        <w:tc>
          <w:tcPr>
            <w:tcW w:w="1123"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包含评审会议、颁奖典礼、开幕式、启幕活动、研讨会等系列活动策划</w:t>
            </w:r>
          </w:p>
        </w:tc>
        <w:tc>
          <w:tcPr>
            <w:tcW w:w="641" w:type="pct"/>
            <w:tcBorders>
              <w:top w:val="nil"/>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0" w:hRule="atLeast"/>
        </w:trPr>
        <w:tc>
          <w:tcPr>
            <w:tcW w:w="18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嘉宾邀请</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嘉宾邀约</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联系并邀请国际灯光节主办方、行业专家、艺术院校代表参与2026年重庆之夜·国际光影文化旅游节</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8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沟通对接</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确定相关出席人员行程安排、内容及流程对接协调</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8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物料设计及制作</w:t>
            </w: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主视觉设计</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2026光影文化旅游节主视觉设计</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8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衍生物料设计</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海报、展册、邀请函等相关物料设计</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8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奖杯及证书设计制作</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所有参赛参展艺术家证书，及获奖者奖杯设计与制作</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项</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8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方正仿宋_GBK" w:hAnsi="方正仿宋_GBK" w:eastAsia="方正仿宋_GBK" w:cs="方正仿宋_GBK"/>
                <w:i w:val="0"/>
                <w:iCs w:val="0"/>
                <w:color w:val="000000"/>
                <w:sz w:val="18"/>
                <w:szCs w:val="18"/>
                <w:u w:val="none"/>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3.4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礼品设计制作</w:t>
            </w:r>
          </w:p>
        </w:tc>
        <w:tc>
          <w:tcPr>
            <w:tcW w:w="11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包含水杯、雨伞、明信片、帆布包、衣服、3D打印小模型等各类纪念品</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份</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150</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88"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right"/>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总额</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w:t>
            </w:r>
          </w:p>
        </w:tc>
      </w:tr>
    </w:tbl>
    <w:p>
      <w:pPr>
        <w:numPr>
          <w:ilvl w:val="0"/>
          <w:numId w:val="2"/>
        </w:numPr>
        <w:tabs>
          <w:tab w:val="left" w:pos="2655"/>
          <w:tab w:val="left" w:pos="3520"/>
          <w:tab w:val="left" w:pos="4620"/>
          <w:tab w:val="left" w:pos="4920"/>
          <w:tab w:val="left" w:pos="5715"/>
          <w:tab w:val="left" w:pos="6945"/>
          <w:tab w:val="left" w:pos="7980"/>
        </w:tabs>
        <w:autoSpaceDE w:val="0"/>
        <w:autoSpaceDN w:val="0"/>
        <w:adjustRightIn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lang w:val="en-US" w:eastAsia="zh-CN"/>
        </w:rPr>
        <w:t>本方承诺</w:t>
      </w:r>
      <w:r>
        <w:rPr>
          <w:rFonts w:ascii="宋体" w:hAnsi="宋体"/>
          <w:snapToGrid w:val="0"/>
          <w:color w:val="auto"/>
          <w:kern w:val="0"/>
          <w:szCs w:val="21"/>
          <w:highlight w:val="none"/>
        </w:rPr>
        <w:t>按</w:t>
      </w:r>
      <w:r>
        <w:rPr>
          <w:rFonts w:hint="eastAsia" w:ascii="宋体" w:hAnsi="宋体"/>
          <w:snapToGrid w:val="0"/>
          <w:color w:val="auto"/>
          <w:kern w:val="0"/>
          <w:szCs w:val="21"/>
          <w:highlight w:val="none"/>
          <w:lang w:val="en-US" w:eastAsia="zh-CN"/>
        </w:rPr>
        <w:t>报价函附件的价格及要求完成</w:t>
      </w:r>
      <w:r>
        <w:rPr>
          <w:rFonts w:hint="eastAsia" w:ascii="宋体" w:hAnsi="宋体" w:cs="宋体"/>
          <w:color w:val="auto"/>
          <w:szCs w:val="21"/>
          <w:highlight w:val="none"/>
          <w:lang w:val="en-US" w:eastAsia="zh-CN"/>
        </w:rPr>
        <w:t>2026年重庆之夜·国际光影文化旅游季光影作品内容邀约，并支付给应邀人补偿费用</w:t>
      </w:r>
      <w:r>
        <w:rPr>
          <w:rFonts w:ascii="宋体" w:hAnsi="宋体"/>
          <w:color w:val="auto"/>
          <w:szCs w:val="21"/>
          <w:highlight w:val="none"/>
        </w:rPr>
        <w:t>。</w:t>
      </w:r>
    </w:p>
    <w:p>
      <w:pPr>
        <w:autoSpaceDE w:val="0"/>
        <w:autoSpaceDN w:val="0"/>
        <w:adjustRightIn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lang w:val="en-US" w:eastAsia="zh-CN"/>
        </w:rPr>
        <w:t>3</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我方承诺在</w:t>
      </w:r>
      <w:r>
        <w:rPr>
          <w:rFonts w:hint="eastAsia" w:ascii="宋体" w:hAnsi="宋体"/>
          <w:snapToGrid w:val="0"/>
          <w:color w:val="auto"/>
          <w:kern w:val="0"/>
          <w:szCs w:val="21"/>
          <w:highlight w:val="none"/>
          <w:lang w:eastAsia="zh-CN"/>
        </w:rPr>
        <w:t>参选</w:t>
      </w:r>
      <w:r>
        <w:rPr>
          <w:rFonts w:ascii="宋体" w:hAnsi="宋体"/>
          <w:snapToGrid w:val="0"/>
          <w:color w:val="auto"/>
          <w:kern w:val="0"/>
          <w:szCs w:val="21"/>
          <w:highlight w:val="none"/>
        </w:rPr>
        <w:t>有效期内不修改、撤销</w:t>
      </w:r>
      <w:r>
        <w:rPr>
          <w:rFonts w:hint="eastAsia" w:ascii="宋体" w:hAnsi="宋体"/>
          <w:snapToGrid w:val="0"/>
          <w:color w:val="auto"/>
          <w:kern w:val="0"/>
          <w:szCs w:val="21"/>
          <w:highlight w:val="none"/>
          <w:lang w:eastAsia="zh-CN"/>
        </w:rPr>
        <w:t>参选</w:t>
      </w:r>
      <w:r>
        <w:rPr>
          <w:rFonts w:ascii="宋体" w:hAnsi="宋体"/>
          <w:snapToGrid w:val="0"/>
          <w:color w:val="auto"/>
          <w:kern w:val="0"/>
          <w:szCs w:val="21"/>
          <w:highlight w:val="none"/>
        </w:rPr>
        <w:t>文件。</w:t>
      </w:r>
    </w:p>
    <w:p>
      <w:pPr>
        <w:autoSpaceDE w:val="0"/>
        <w:autoSpaceDN w:val="0"/>
        <w:adjustRightIn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lang w:val="en-US" w:eastAsia="zh-CN"/>
        </w:rPr>
        <w:t>4</w:t>
      </w:r>
      <w:r>
        <w:rPr>
          <w:rFonts w:hint="eastAsia" w:ascii="宋体" w:hAnsi="宋体"/>
          <w:snapToGrid w:val="0"/>
          <w:color w:val="auto"/>
          <w:kern w:val="0"/>
          <w:szCs w:val="21"/>
          <w:highlight w:val="none"/>
        </w:rPr>
        <w:t xml:space="preserve">. </w:t>
      </w:r>
      <w:r>
        <w:rPr>
          <w:rFonts w:hint="eastAsia" w:ascii="宋体" w:hAnsi="宋体"/>
          <w:snapToGrid w:val="0"/>
          <w:color w:val="auto"/>
          <w:kern w:val="0"/>
          <w:szCs w:val="21"/>
          <w:highlight w:val="none"/>
          <w:lang w:val="en-US" w:eastAsia="zh-CN"/>
        </w:rPr>
        <w:t>若</w:t>
      </w:r>
      <w:r>
        <w:rPr>
          <w:rFonts w:ascii="宋体" w:hAnsi="宋体"/>
          <w:snapToGrid w:val="0"/>
          <w:color w:val="auto"/>
          <w:kern w:val="0"/>
          <w:szCs w:val="21"/>
          <w:highlight w:val="none"/>
        </w:rPr>
        <w:t>我方中选：</w:t>
      </w:r>
    </w:p>
    <w:p>
      <w:pPr>
        <w:autoSpaceDE w:val="0"/>
        <w:autoSpaceDN w:val="0"/>
        <w:adjustRightIn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（1）我方承诺在收到中选通知书</w:t>
      </w:r>
      <w:r>
        <w:rPr>
          <w:rFonts w:hint="eastAsia" w:ascii="宋体" w:hAnsi="宋体"/>
          <w:snapToGrid w:val="0"/>
          <w:color w:val="auto"/>
          <w:kern w:val="0"/>
          <w:szCs w:val="21"/>
          <w:highlight w:val="none"/>
          <w:lang w:val="en-US" w:eastAsia="zh-CN"/>
        </w:rPr>
        <w:t>或者比选结果公示表</w:t>
      </w:r>
      <w:r>
        <w:rPr>
          <w:rFonts w:ascii="宋体" w:hAnsi="宋体"/>
          <w:snapToGrid w:val="0"/>
          <w:color w:val="auto"/>
          <w:kern w:val="0"/>
          <w:szCs w:val="21"/>
          <w:highlight w:val="none"/>
        </w:rPr>
        <w:t>后，在规定的期限内与你方签订合同。</w:t>
      </w:r>
    </w:p>
    <w:p>
      <w:pPr>
        <w:autoSpaceDE w:val="0"/>
        <w:autoSpaceDN w:val="0"/>
        <w:adjustRightIn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（2）我方承诺在合同约定的期限内完成全部合同</w:t>
      </w:r>
      <w:r>
        <w:rPr>
          <w:rFonts w:hint="eastAsia" w:ascii="宋体" w:hAnsi="宋体"/>
          <w:snapToGrid w:val="0"/>
          <w:color w:val="auto"/>
          <w:kern w:val="0"/>
          <w:szCs w:val="21"/>
          <w:highlight w:val="none"/>
        </w:rPr>
        <w:t>服务</w:t>
      </w:r>
      <w:r>
        <w:rPr>
          <w:rFonts w:ascii="宋体" w:hAnsi="宋体"/>
          <w:snapToGrid w:val="0"/>
          <w:color w:val="auto"/>
          <w:kern w:val="0"/>
          <w:szCs w:val="21"/>
          <w:highlight w:val="none"/>
        </w:rPr>
        <w:t>。</w:t>
      </w:r>
    </w:p>
    <w:p>
      <w:pPr>
        <w:autoSpaceDE w:val="0"/>
        <w:autoSpaceDN w:val="0"/>
        <w:adjustRightIn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lang w:val="en-US" w:eastAsia="zh-CN"/>
        </w:rPr>
        <w:t>6</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我方</w:t>
      </w:r>
      <w:r>
        <w:rPr>
          <w:rFonts w:ascii="宋体" w:hAnsi="宋体"/>
          <w:snapToGrid w:val="0"/>
          <w:color w:val="auto"/>
          <w:spacing w:val="-2"/>
          <w:kern w:val="0"/>
          <w:szCs w:val="21"/>
          <w:highlight w:val="none"/>
        </w:rPr>
        <w:t>在此声明，所递交的</w:t>
      </w:r>
      <w:r>
        <w:rPr>
          <w:rFonts w:hint="eastAsia" w:ascii="宋体" w:hAnsi="宋体"/>
          <w:snapToGrid w:val="0"/>
          <w:color w:val="auto"/>
          <w:spacing w:val="-2"/>
          <w:kern w:val="0"/>
          <w:szCs w:val="21"/>
          <w:highlight w:val="none"/>
          <w:lang w:eastAsia="zh-CN"/>
        </w:rPr>
        <w:t>参选</w:t>
      </w:r>
      <w:r>
        <w:rPr>
          <w:rFonts w:ascii="宋体" w:hAnsi="宋体"/>
          <w:snapToGrid w:val="0"/>
          <w:color w:val="auto"/>
          <w:spacing w:val="-2"/>
          <w:kern w:val="0"/>
          <w:szCs w:val="21"/>
          <w:highlight w:val="none"/>
        </w:rPr>
        <w:t>文件及有关资料内容完整、真实和准确</w:t>
      </w:r>
      <w:r>
        <w:rPr>
          <w:rFonts w:ascii="宋体" w:hAnsi="宋体"/>
          <w:snapToGrid w:val="0"/>
          <w:color w:val="auto"/>
          <w:kern w:val="0"/>
          <w:szCs w:val="21"/>
          <w:highlight w:val="none"/>
        </w:rPr>
        <w:t>。同时我方承诺接受比选文件及附件、答疑及补遗通知中所有的内容。</w:t>
      </w:r>
    </w:p>
    <w:p>
      <w:pPr>
        <w:tabs>
          <w:tab w:val="left" w:pos="5985"/>
        </w:tabs>
        <w:autoSpaceDE w:val="0"/>
        <w:autoSpaceDN w:val="0"/>
        <w:adjustRightIn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lang w:val="en-US" w:eastAsia="zh-CN"/>
        </w:rPr>
        <w:t>7</w:t>
      </w:r>
      <w:r>
        <w:rPr>
          <w:rFonts w:hint="eastAsia" w:ascii="宋体" w:hAnsi="宋体"/>
          <w:snapToGrid w:val="0"/>
          <w:color w:val="auto"/>
          <w:kern w:val="0"/>
          <w:szCs w:val="21"/>
          <w:highlight w:val="none"/>
        </w:rPr>
        <w:t xml:space="preserve">. </w:t>
      </w:r>
      <w:r>
        <w:rPr>
          <w:rFonts w:ascii="宋体" w:hAnsi="宋体"/>
          <w:snapToGrid w:val="0"/>
          <w:color w:val="auto"/>
          <w:w w:val="200"/>
          <w:kern w:val="0"/>
          <w:szCs w:val="21"/>
          <w:highlight w:val="none"/>
          <w:u w:val="single"/>
        </w:rPr>
        <w:t xml:space="preserve"> </w:t>
      </w:r>
      <w:r>
        <w:rPr>
          <w:rFonts w:ascii="宋体" w:hAnsi="宋体"/>
          <w:snapToGrid w:val="0"/>
          <w:color w:val="auto"/>
          <w:kern w:val="0"/>
          <w:szCs w:val="21"/>
          <w:highlight w:val="none"/>
          <w:u w:val="single"/>
        </w:rPr>
        <w:tab/>
      </w:r>
      <w:r>
        <w:rPr>
          <w:rFonts w:ascii="宋体" w:hAnsi="宋体"/>
          <w:snapToGrid w:val="0"/>
          <w:color w:val="auto"/>
          <w:kern w:val="0"/>
          <w:szCs w:val="21"/>
          <w:highlight w:val="none"/>
        </w:rPr>
        <w:t>（其他补充说明）。</w:t>
      </w:r>
    </w:p>
    <w:p>
      <w:pPr>
        <w:tabs>
          <w:tab w:val="left" w:pos="7140"/>
          <w:tab w:val="left" w:pos="7560"/>
          <w:tab w:val="left" w:pos="8300"/>
        </w:tabs>
        <w:autoSpaceDE w:val="0"/>
        <w:autoSpaceDN w:val="0"/>
        <w:adjustRightInd w:val="0"/>
        <w:spacing w:line="360" w:lineRule="auto"/>
        <w:ind w:firstLine="420" w:firstLineChars="200"/>
        <w:rPr>
          <w:rFonts w:hint="eastAsia" w:ascii="宋体" w:hAnsi="宋体"/>
          <w:snapToGrid w:val="0"/>
          <w:color w:val="auto"/>
          <w:kern w:val="0"/>
          <w:szCs w:val="21"/>
          <w:highlight w:val="none"/>
        </w:rPr>
      </w:pPr>
    </w:p>
    <w:p>
      <w:pPr>
        <w:tabs>
          <w:tab w:val="left" w:pos="7140"/>
          <w:tab w:val="left" w:pos="7560"/>
          <w:tab w:val="left" w:pos="8300"/>
        </w:tabs>
        <w:autoSpaceDE w:val="0"/>
        <w:autoSpaceDN w:val="0"/>
        <w:adjustRightInd w:val="0"/>
        <w:spacing w:line="360" w:lineRule="auto"/>
        <w:ind w:firstLine="420" w:firstLineChars="200"/>
        <w:rPr>
          <w:rFonts w:hint="eastAsia" w:ascii="宋体" w:hAnsi="宋体"/>
          <w:snapToGrid w:val="0"/>
          <w:color w:val="auto"/>
          <w:kern w:val="0"/>
          <w:szCs w:val="21"/>
          <w:highlight w:val="none"/>
        </w:rPr>
      </w:pPr>
    </w:p>
    <w:p>
      <w:pPr>
        <w:tabs>
          <w:tab w:val="left" w:pos="7140"/>
          <w:tab w:val="left" w:pos="7560"/>
          <w:tab w:val="left" w:pos="8300"/>
        </w:tabs>
        <w:autoSpaceDE w:val="0"/>
        <w:autoSpaceDN w:val="0"/>
        <w:adjustRightInd w:val="0"/>
        <w:spacing w:line="360" w:lineRule="auto"/>
        <w:ind w:firstLine="420" w:firstLineChars="200"/>
        <w:rPr>
          <w:rFonts w:ascii="宋体" w:hAnsi="宋体"/>
          <w:snapToGrid w:val="0"/>
          <w:color w:val="auto"/>
          <w:kern w:val="0"/>
          <w:szCs w:val="21"/>
          <w:highlight w:val="none"/>
        </w:rPr>
      </w:pPr>
      <w:r>
        <w:rPr>
          <w:rFonts w:hint="eastAsia" w:ascii="宋体" w:hAnsi="宋体"/>
          <w:snapToGrid w:val="0"/>
          <w:color w:val="auto"/>
          <w:kern w:val="0"/>
          <w:szCs w:val="21"/>
          <w:highlight w:val="none"/>
        </w:rPr>
        <w:t>竞  选</w:t>
      </w:r>
      <w:r>
        <w:rPr>
          <w:rFonts w:ascii="宋体" w:hAnsi="宋体"/>
          <w:snapToGrid w:val="0"/>
          <w:color w:val="auto"/>
          <w:kern w:val="0"/>
          <w:szCs w:val="21"/>
          <w:highlight w:val="none"/>
        </w:rPr>
        <w:t xml:space="preserve">  人：</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rPr>
        <w:t>（盖单位</w:t>
      </w:r>
      <w:r>
        <w:rPr>
          <w:rFonts w:hint="eastAsia" w:ascii="宋体" w:hAnsi="宋体"/>
          <w:snapToGrid w:val="0"/>
          <w:color w:val="auto"/>
          <w:kern w:val="0"/>
          <w:szCs w:val="21"/>
          <w:highlight w:val="none"/>
        </w:rPr>
        <w:t>公</w:t>
      </w:r>
      <w:r>
        <w:rPr>
          <w:rFonts w:ascii="宋体" w:hAnsi="宋体"/>
          <w:snapToGrid w:val="0"/>
          <w:color w:val="auto"/>
          <w:kern w:val="0"/>
          <w:szCs w:val="21"/>
          <w:highlight w:val="none"/>
        </w:rPr>
        <w:t xml:space="preserve">章） </w:t>
      </w:r>
    </w:p>
    <w:p>
      <w:pPr>
        <w:tabs>
          <w:tab w:val="left" w:pos="7140"/>
          <w:tab w:val="left" w:pos="7560"/>
          <w:tab w:val="left" w:pos="8300"/>
        </w:tabs>
        <w:autoSpaceDE w:val="0"/>
        <w:autoSpaceDN w:val="0"/>
        <w:adjustRightIn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法定代表人</w:t>
      </w:r>
      <w:r>
        <w:rPr>
          <w:rFonts w:hint="eastAsia" w:ascii="宋体" w:hAnsi="宋体"/>
          <w:snapToGrid w:val="0"/>
          <w:color w:val="auto"/>
          <w:kern w:val="0"/>
          <w:szCs w:val="21"/>
          <w:highlight w:val="none"/>
        </w:rPr>
        <w:t>或其委托代理人</w:t>
      </w:r>
      <w:r>
        <w:rPr>
          <w:rFonts w:ascii="宋体" w:hAnsi="宋体"/>
          <w:snapToGrid w:val="0"/>
          <w:color w:val="auto"/>
          <w:kern w:val="0"/>
          <w:szCs w:val="21"/>
          <w:highlight w:val="none"/>
        </w:rPr>
        <w:t>：</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r>
        <w:rPr>
          <w:rFonts w:ascii="宋体" w:hAnsi="宋体"/>
          <w:snapToGrid w:val="0"/>
          <w:color w:val="auto"/>
          <w:kern w:val="0"/>
          <w:szCs w:val="21"/>
          <w:highlight w:val="none"/>
          <w:u w:val="single"/>
        </w:rPr>
        <w:t xml:space="preserve">  </w:t>
      </w:r>
      <w:r>
        <w:rPr>
          <w:rFonts w:ascii="宋体" w:hAnsi="宋体"/>
          <w:snapToGrid w:val="0"/>
          <w:color w:val="auto"/>
          <w:kern w:val="0"/>
          <w:szCs w:val="21"/>
          <w:highlight w:val="none"/>
        </w:rPr>
        <w:t>（签字或盖章）</w:t>
      </w:r>
    </w:p>
    <w:p>
      <w:pPr>
        <w:tabs>
          <w:tab w:val="left" w:pos="7035"/>
          <w:tab w:val="left" w:pos="7560"/>
          <w:tab w:val="left" w:pos="8300"/>
        </w:tabs>
        <w:autoSpaceDE w:val="0"/>
        <w:autoSpaceDN w:val="0"/>
        <w:adjustRightIn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地</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址：</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p>
    <w:p>
      <w:pPr>
        <w:tabs>
          <w:tab w:val="left" w:pos="8300"/>
        </w:tabs>
        <w:autoSpaceDE w:val="0"/>
        <w:autoSpaceDN w:val="0"/>
        <w:adjustRightInd w:val="0"/>
        <w:spacing w:line="360" w:lineRule="auto"/>
        <w:ind w:firstLine="420" w:firstLineChars="200"/>
        <w:rPr>
          <w:rFonts w:ascii="宋体" w:hAnsi="宋体"/>
          <w:snapToGrid w:val="0"/>
          <w:color w:val="auto"/>
          <w:kern w:val="0"/>
          <w:szCs w:val="21"/>
          <w:highlight w:val="none"/>
        </w:rPr>
      </w:pPr>
      <w:r>
        <w:rPr>
          <w:rFonts w:ascii="宋体" w:hAnsi="宋体"/>
          <w:snapToGrid w:val="0"/>
          <w:color w:val="auto"/>
          <w:kern w:val="0"/>
          <w:szCs w:val="21"/>
          <w:highlight w:val="none"/>
        </w:rPr>
        <w:t>电</w:t>
      </w:r>
      <w:r>
        <w:rPr>
          <w:rFonts w:hint="eastAsia" w:ascii="宋体" w:hAnsi="宋体"/>
          <w:snapToGrid w:val="0"/>
          <w:color w:val="auto"/>
          <w:kern w:val="0"/>
          <w:szCs w:val="21"/>
          <w:highlight w:val="none"/>
        </w:rPr>
        <w:t xml:space="preserve">    </w:t>
      </w:r>
      <w:r>
        <w:rPr>
          <w:rFonts w:ascii="宋体" w:hAnsi="宋体"/>
          <w:snapToGrid w:val="0"/>
          <w:color w:val="auto"/>
          <w:kern w:val="0"/>
          <w:szCs w:val="21"/>
          <w:highlight w:val="none"/>
        </w:rPr>
        <w:t>话：</w:t>
      </w:r>
      <w:r>
        <w:rPr>
          <w:rFonts w:ascii="宋体" w:hAnsi="宋体"/>
          <w:snapToGrid w:val="0"/>
          <w:color w:val="auto"/>
          <w:kern w:val="0"/>
          <w:szCs w:val="21"/>
          <w:highlight w:val="none"/>
          <w:u w:val="single"/>
        </w:rPr>
        <w:t xml:space="preserve">     </w:t>
      </w:r>
      <w:r>
        <w:rPr>
          <w:rFonts w:hint="eastAsia" w:ascii="宋体" w:hAnsi="宋体"/>
          <w:snapToGrid w:val="0"/>
          <w:color w:val="auto"/>
          <w:kern w:val="0"/>
          <w:szCs w:val="21"/>
          <w:highlight w:val="none"/>
          <w:u w:val="single"/>
        </w:rPr>
        <w:t xml:space="preserve">                                   </w:t>
      </w:r>
    </w:p>
    <w:p>
      <w:pPr>
        <w:tabs>
          <w:tab w:val="left" w:pos="8300"/>
        </w:tabs>
        <w:autoSpaceDE w:val="0"/>
        <w:autoSpaceDN w:val="0"/>
        <w:adjustRightInd w:val="0"/>
        <w:spacing w:line="360" w:lineRule="auto"/>
        <w:ind w:firstLine="420" w:firstLineChars="200"/>
        <w:jc w:val="right"/>
        <w:rPr>
          <w:rFonts w:ascii="宋体" w:hAnsi="宋体"/>
          <w:color w:val="auto"/>
          <w:kern w:val="0"/>
          <w:szCs w:val="21"/>
          <w:highlight w:val="none"/>
        </w:rPr>
      </w:pPr>
      <w:r>
        <w:rPr>
          <w:rFonts w:hint="eastAsia" w:ascii="宋体" w:hAnsi="宋体"/>
          <w:color w:val="auto"/>
          <w:kern w:val="0"/>
          <w:szCs w:val="21"/>
          <w:highlight w:val="none"/>
          <w:u w:val="single"/>
        </w:rPr>
        <w:t xml:space="preserve">       </w:t>
      </w:r>
      <w:r>
        <w:rPr>
          <w:rFonts w:ascii="宋体" w:hAnsi="宋体"/>
          <w:color w:val="auto"/>
          <w:kern w:val="0"/>
          <w:szCs w:val="21"/>
          <w:highlight w:val="none"/>
        </w:rPr>
        <w:t>年</w:t>
      </w:r>
      <w:r>
        <w:rPr>
          <w:rFonts w:hint="eastAsia" w:ascii="宋体" w:hAnsi="宋体"/>
          <w:color w:val="auto"/>
          <w:kern w:val="0"/>
          <w:szCs w:val="21"/>
          <w:highlight w:val="none"/>
          <w:u w:val="single"/>
        </w:rPr>
        <w:t xml:space="preserve">    </w:t>
      </w:r>
      <w:r>
        <w:rPr>
          <w:rFonts w:ascii="宋体" w:hAnsi="宋体"/>
          <w:color w:val="auto"/>
          <w:kern w:val="0"/>
          <w:szCs w:val="21"/>
          <w:highlight w:val="none"/>
        </w:rPr>
        <w:t>月</w:t>
      </w:r>
      <w:r>
        <w:rPr>
          <w:rFonts w:hint="eastAsia" w:ascii="宋体" w:hAnsi="宋体"/>
          <w:color w:val="auto"/>
          <w:kern w:val="0"/>
          <w:szCs w:val="21"/>
          <w:highlight w:val="none"/>
          <w:u w:val="single"/>
        </w:rPr>
        <w:t xml:space="preserve">    </w:t>
      </w:r>
      <w:r>
        <w:rPr>
          <w:rFonts w:ascii="宋体" w:hAnsi="宋体"/>
          <w:color w:val="auto"/>
          <w:kern w:val="0"/>
          <w:szCs w:val="21"/>
          <w:highlight w:val="none"/>
        </w:rPr>
        <w:t>日</w:t>
      </w:r>
    </w:p>
    <w:p>
      <w:pPr>
        <w:pStyle w:val="2"/>
        <w:rPr>
          <w:rFonts w:ascii="宋体" w:hAnsi="宋体"/>
          <w:color w:val="auto"/>
          <w:kern w:val="0"/>
          <w:szCs w:val="21"/>
          <w:highlight w:val="none"/>
        </w:rPr>
      </w:pPr>
    </w:p>
    <w:p>
      <w:pPr>
        <w:rPr>
          <w:rFonts w:hint="eastAsia" w:ascii="宋体" w:hAnsi="宋体"/>
          <w:b/>
          <w:bCs/>
          <w:color w:val="auto"/>
          <w:kern w:val="0"/>
          <w:szCs w:val="21"/>
          <w:highlight w:val="none"/>
          <w:lang w:val="en-US" w:eastAsia="zh-CN"/>
        </w:rPr>
      </w:pPr>
      <w:r>
        <w:rPr>
          <w:rFonts w:hint="eastAsia" w:ascii="宋体" w:hAnsi="宋体"/>
          <w:b/>
          <w:bCs/>
          <w:color w:val="auto"/>
          <w:kern w:val="0"/>
          <w:szCs w:val="21"/>
          <w:highlight w:val="none"/>
          <w:lang w:val="en-US" w:eastAsia="zh-CN"/>
        </w:rPr>
        <w:t>报价函附件：</w:t>
      </w:r>
    </w:p>
    <w:p>
      <w:pPr>
        <w:pStyle w:val="50"/>
        <w:keepNext w:val="0"/>
        <w:keepLines w:val="0"/>
        <w:pageBreakBefore w:val="0"/>
        <w:widowControl w:val="0"/>
        <w:kinsoku/>
        <w:wordWrap/>
        <w:overflowPunct/>
        <w:topLinePunct w:val="0"/>
        <w:autoSpaceDE/>
        <w:autoSpaceDN/>
        <w:bidi w:val="0"/>
        <w:adjustRightInd/>
        <w:snapToGrid/>
        <w:spacing w:before="0" w:after="0"/>
        <w:jc w:val="both"/>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cs="Times New Roman"/>
          <w:b w:val="0"/>
          <w:bCs w:val="0"/>
          <w:color w:val="000000"/>
          <w:kern w:val="2"/>
          <w:sz w:val="21"/>
          <w:szCs w:val="21"/>
          <w:lang w:val="en-US" w:eastAsia="zh-CN" w:bidi="ar-SA"/>
        </w:rPr>
        <w:t>2026年重庆之夜·</w:t>
      </w:r>
      <w:r>
        <w:rPr>
          <w:rFonts w:hint="eastAsia" w:ascii="Times New Roman" w:hAnsi="Times New Roman" w:eastAsia="宋体" w:cs="Times New Roman"/>
          <w:b w:val="0"/>
          <w:bCs w:val="0"/>
          <w:color w:val="000000"/>
          <w:kern w:val="2"/>
          <w:sz w:val="21"/>
          <w:szCs w:val="21"/>
          <w:lang w:val="en-US" w:eastAsia="zh-CN" w:bidi="ar-SA"/>
        </w:rPr>
        <w:t>国际光影文化旅游季光影作品内容邀约补偿费含税价￥ 400000元，（大写：肆拾万元整），具体如下：</w:t>
      </w:r>
    </w:p>
    <w:tbl>
      <w:tblPr>
        <w:tblStyle w:val="5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819"/>
        <w:gridCol w:w="5286"/>
        <w:gridCol w:w="963"/>
        <w:gridCol w:w="937"/>
        <w:gridCol w:w="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20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序号</w:t>
            </w:r>
          </w:p>
        </w:tc>
        <w:tc>
          <w:tcPr>
            <w:tcW w:w="924"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项目地点</w:t>
            </w:r>
          </w:p>
        </w:tc>
        <w:tc>
          <w:tcPr>
            <w:tcW w:w="2685"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邀约作品简介</w:t>
            </w:r>
          </w:p>
        </w:tc>
        <w:tc>
          <w:tcPr>
            <w:tcW w:w="489"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邀约团队</w:t>
            </w:r>
          </w:p>
        </w:tc>
        <w:tc>
          <w:tcPr>
            <w:tcW w:w="475"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补偿费用</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（人民币：元）</w:t>
            </w:r>
          </w:p>
        </w:tc>
        <w:tc>
          <w:tcPr>
            <w:tcW w:w="224" w:type="pct"/>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1</w:t>
            </w:r>
          </w:p>
        </w:tc>
        <w:tc>
          <w:tcPr>
            <w:tcW w:w="924"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742208" behindDoc="0" locked="0" layoutInCell="1" allowOverlap="1">
                  <wp:simplePos x="0" y="0"/>
                  <wp:positionH relativeFrom="column">
                    <wp:posOffset>2540</wp:posOffset>
                  </wp:positionH>
                  <wp:positionV relativeFrom="paragraph">
                    <wp:posOffset>-1905</wp:posOffset>
                  </wp:positionV>
                  <wp:extent cx="1398270" cy="1165225"/>
                  <wp:effectExtent l="0" t="0" r="11430" b="15875"/>
                  <wp:wrapTopAndBottom/>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5"/>
                          <a:stretch>
                            <a:fillRect/>
                          </a:stretch>
                        </pic:blipFill>
                        <pic:spPr>
                          <a:xfrm>
                            <a:off x="0" y="0"/>
                            <a:ext cx="1398270" cy="1165225"/>
                          </a:xfrm>
                          <a:prstGeom prst="rect">
                            <a:avLst/>
                          </a:prstGeom>
                          <a:noFill/>
                          <a:ln>
                            <a:noFill/>
                          </a:ln>
                        </pic:spPr>
                      </pic:pic>
                    </a:graphicData>
                  </a:graphic>
                </wp:anchor>
              </w:drawing>
            </w:r>
          </w:p>
        </w:tc>
        <w:tc>
          <w:tcPr>
            <w:tcW w:w="2685"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小小创造者</w:t>
            </w: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是一群特殊的存在，只要有新的世界需要被建造，它们便会出现。它们通过</w:t>
            </w:r>
            <w:r>
              <w:rPr>
                <w:rFonts w:hint="eastAsia" w:ascii="方正仿宋_GB2312" w:hAnsi="方正仿宋_GB2312" w:eastAsia="方正仿宋_GB2312" w:cs="方正仿宋_GB2312"/>
                <w:sz w:val="18"/>
                <w:szCs w:val="18"/>
                <w:highlight w:val="none"/>
                <w:vertAlign w:val="baseline"/>
                <w:lang w:eastAsia="zh-CN"/>
              </w:rPr>
              <w:t>由</w:t>
            </w:r>
            <w:r>
              <w:rPr>
                <w:rFonts w:hint="eastAsia" w:ascii="方正仿宋_GB2312" w:hAnsi="方正仿宋_GB2312" w:eastAsia="方正仿宋_GB2312" w:cs="方正仿宋_GB2312"/>
                <w:sz w:val="18"/>
                <w:szCs w:val="18"/>
                <w:highlight w:val="none"/>
                <w:vertAlign w:val="baseline"/>
              </w:rPr>
              <w:t>天空坠落的粒子所开启的传送之门穿越而来。无论走到哪里，它们都会为原本空无一物的空间注入生命，让“无”被塑造成“有”。当它们完成使命，便悄然离开，继续前往下一个等待被创造的地方。</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ascii="Calibri" w:hAnsi="Calibri" w:eastAsia="方正仿宋_GBK" w:cs="Times New Roman"/>
                <w:kern w:val="2"/>
                <w:sz w:val="18"/>
                <w:szCs w:val="18"/>
                <w:highlight w:val="none"/>
                <w:vertAlign w:val="baseline"/>
                <w:lang w:val="en-US" w:eastAsia="zh-CN" w:bidi="ar-SA"/>
              </w:rPr>
            </w:pPr>
            <w:r>
              <w:rPr>
                <w:rFonts w:hint="eastAsia" w:ascii="Calibri" w:hAnsi="Calibri" w:eastAsia="方正仿宋_GBK" w:cs="Times New Roman"/>
                <w:kern w:val="2"/>
                <w:sz w:val="18"/>
                <w:szCs w:val="18"/>
                <w:highlight w:val="none"/>
                <w:vertAlign w:val="baseline"/>
                <w:lang w:val="en-US" w:eastAsia="zh-CN" w:bidi="ar-SA"/>
              </w:rPr>
              <w:t>Maxin10sity</w:t>
            </w:r>
            <w:r>
              <w:rPr>
                <w:rFonts w:hint="eastAsia" w:cs="Times New Roman"/>
                <w:kern w:val="2"/>
                <w:sz w:val="18"/>
                <w:szCs w:val="18"/>
                <w:highlight w:val="none"/>
                <w:vertAlign w:val="baseline"/>
                <w:lang w:val="en-US" w:eastAsia="zh-CN" w:bidi="ar-SA"/>
              </w:rPr>
              <w:t>（匈牙利）</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2</w:t>
            </w:r>
          </w:p>
        </w:tc>
        <w:tc>
          <w:tcPr>
            <w:tcW w:w="924"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743232" behindDoc="0" locked="0" layoutInCell="1" allowOverlap="1">
                  <wp:simplePos x="0" y="0"/>
                  <wp:positionH relativeFrom="column">
                    <wp:posOffset>0</wp:posOffset>
                  </wp:positionH>
                  <wp:positionV relativeFrom="paragraph">
                    <wp:posOffset>-640080</wp:posOffset>
                  </wp:positionV>
                  <wp:extent cx="1402080" cy="755015"/>
                  <wp:effectExtent l="0" t="0" r="7620" b="6985"/>
                  <wp:wrapTopAndBottom/>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16"/>
                          <a:stretch>
                            <a:fillRect/>
                          </a:stretch>
                        </pic:blipFill>
                        <pic:spPr>
                          <a:xfrm>
                            <a:off x="0" y="0"/>
                            <a:ext cx="1402080" cy="755015"/>
                          </a:xfrm>
                          <a:prstGeom prst="rect">
                            <a:avLst/>
                          </a:prstGeom>
                          <a:noFill/>
                          <a:ln>
                            <a:noFill/>
                          </a:ln>
                        </pic:spPr>
                      </pic:pic>
                    </a:graphicData>
                  </a:graphic>
                </wp:anchor>
              </w:drawing>
            </w:r>
          </w:p>
        </w:tc>
        <w:tc>
          <w:tcPr>
            <w:tcW w:w="2685"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sz w:val="18"/>
                <w:szCs w:val="18"/>
                <w:highlight w:val="none"/>
                <w:vertAlign w:val="baseline"/>
                <w:lang w:eastAsia="zh-CN"/>
              </w:rPr>
            </w:pPr>
            <w:r>
              <w:rPr>
                <w:rFonts w:hint="eastAsia" w:ascii="方正仿宋_GB2312" w:hAnsi="方正仿宋_GB2312" w:eastAsia="方正仿宋_GB2312" w:cs="方正仿宋_GB2312"/>
                <w:sz w:val="18"/>
                <w:szCs w:val="18"/>
                <w:highlight w:val="none"/>
                <w:vertAlign w:val="baseline"/>
              </w:rPr>
              <w:t>本作品以“可爱海底童话王国”为主题，将整座建筑化作一片会呼吸的梦幻深海。五彩珊瑚在墙面生长，水母如小灯笼般缓缓漂浮，小鱼成群穿梭，海马、章鱼与贝壳精灵轮番登场，组成一个充满童趣的水下世界。画面节奏轻快明亮，色彩柔软通透，像一本被翻开的立体童话书。孩子们可以在光影中“潜入”海底，与这些可爱的海洋伙伴互动、追逐与游戏。作品以温柔的方式讲述勇气、友谊与探索的故事，让观众在轻松愉悦的氛围中，找回对自然与想象力最纯真的向往</w:t>
            </w:r>
            <w:r>
              <w:rPr>
                <w:rFonts w:hint="eastAsia" w:ascii="方正仿宋_GB2312" w:hAnsi="方正仿宋_GB2312" w:eastAsia="方正仿宋_GB2312" w:cs="方正仿宋_GB2312"/>
                <w:sz w:val="18"/>
                <w:szCs w:val="18"/>
                <w:highlight w:val="none"/>
                <w:vertAlign w:val="baseline"/>
                <w:lang w:eastAsia="zh-CN"/>
              </w:rPr>
              <w:t>。</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AVA Animation &amp; Visual Arts（墨西哥）</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3</w:t>
            </w:r>
          </w:p>
        </w:tc>
        <w:tc>
          <w:tcPr>
            <w:tcW w:w="924"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744256" behindDoc="0" locked="0" layoutInCell="1" allowOverlap="1">
                  <wp:simplePos x="0" y="0"/>
                  <wp:positionH relativeFrom="column">
                    <wp:posOffset>0</wp:posOffset>
                  </wp:positionH>
                  <wp:positionV relativeFrom="paragraph">
                    <wp:posOffset>-621030</wp:posOffset>
                  </wp:positionV>
                  <wp:extent cx="1395095" cy="725805"/>
                  <wp:effectExtent l="0" t="0" r="14605" b="17145"/>
                  <wp:wrapTopAndBottom/>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17"/>
                          <a:stretch>
                            <a:fillRect/>
                          </a:stretch>
                        </pic:blipFill>
                        <pic:spPr>
                          <a:xfrm>
                            <a:off x="0" y="0"/>
                            <a:ext cx="1395095" cy="725805"/>
                          </a:xfrm>
                          <a:prstGeom prst="rect">
                            <a:avLst/>
                          </a:prstGeom>
                          <a:noFill/>
                          <a:ln>
                            <a:noFill/>
                          </a:ln>
                        </pic:spPr>
                      </pic:pic>
                    </a:graphicData>
                  </a:graphic>
                </wp:anchor>
              </w:drawing>
            </w:r>
          </w:p>
        </w:tc>
        <w:tc>
          <w:tcPr>
            <w:tcW w:w="2685"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rPr>
              <w:t>作品以印尼传统儿童童话为灵感，将古老传说中的森林、海洋、神鸟与精灵搬上建筑立面。画面采用明亮而富有热带气息的色彩，伴随轻快的音乐节奏展开，一段段关于勇气、善良与成长的故事在光影中流动。主人公在奇幻世界中不断遇见困难，又在伙伴的帮助下学会分享与坚持。作品通过温柔、童趣的视觉</w:t>
            </w:r>
            <w:r>
              <w:rPr>
                <w:rFonts w:hint="eastAsia" w:ascii="方正仿宋_GB2312" w:hAnsi="方正仿宋_GB2312" w:eastAsia="方正仿宋_GB2312" w:cs="方正仿宋_GB2312"/>
                <w:sz w:val="18"/>
                <w:szCs w:val="18"/>
                <w:highlight w:val="none"/>
                <w:vertAlign w:val="baseline"/>
                <w:lang w:eastAsia="zh-CN"/>
              </w:rPr>
              <w:t>形式</w:t>
            </w:r>
            <w:r>
              <w:rPr>
                <w:rFonts w:hint="eastAsia" w:ascii="方正仿宋_GB2312" w:hAnsi="方正仿宋_GB2312" w:eastAsia="方正仿宋_GB2312" w:cs="方正仿宋_GB2312"/>
                <w:sz w:val="18"/>
                <w:szCs w:val="18"/>
                <w:highlight w:val="none"/>
                <w:vertAlign w:val="baseline"/>
              </w:rPr>
              <w:t>，让孩子</w:t>
            </w:r>
            <w:r>
              <w:rPr>
                <w:rFonts w:hint="eastAsia" w:ascii="方正仿宋_GB2312" w:hAnsi="方正仿宋_GB2312" w:eastAsia="方正仿宋_GB2312" w:cs="方正仿宋_GB2312"/>
                <w:sz w:val="18"/>
                <w:szCs w:val="18"/>
                <w:highlight w:val="none"/>
                <w:vertAlign w:val="baseline"/>
                <w:lang w:eastAsia="zh-CN"/>
              </w:rPr>
              <w:t>们在</w:t>
            </w:r>
            <w:r>
              <w:rPr>
                <w:rFonts w:hint="eastAsia" w:ascii="方正仿宋_GB2312" w:hAnsi="方正仿宋_GB2312" w:eastAsia="方正仿宋_GB2312" w:cs="方正仿宋_GB2312"/>
                <w:sz w:val="18"/>
                <w:szCs w:val="18"/>
                <w:highlight w:val="none"/>
                <w:vertAlign w:val="baseline"/>
              </w:rPr>
              <w:t>沉浸体验中感受异域文化的魅力，也在故事的起伏中理解友谊、信任与希望的意义。</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The Fox the Folks（印度尼西亚）</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6" w:hRule="atLeast"/>
        </w:trPr>
        <w:tc>
          <w:tcPr>
            <w:tcW w:w="201"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4</w:t>
            </w:r>
          </w:p>
        </w:tc>
        <w:tc>
          <w:tcPr>
            <w:tcW w:w="924"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eastAsiaTheme="minorEastAsia"/>
                <w:sz w:val="18"/>
                <w:szCs w:val="18"/>
                <w:highlight w:val="none"/>
                <w:vertAlign w:val="baseline"/>
                <w:lang w:eastAsia="zh-CN"/>
              </w:rPr>
            </w:pPr>
            <w:r>
              <w:rPr>
                <w:rFonts w:hint="eastAsia" w:eastAsiaTheme="minorEastAsia"/>
                <w:sz w:val="18"/>
                <w:szCs w:val="18"/>
                <w:highlight w:val="none"/>
                <w:vertAlign w:val="baseline"/>
                <w:lang w:eastAsia="zh-CN"/>
              </w:rPr>
              <w:drawing>
                <wp:anchor distT="0" distB="0" distL="114300" distR="114300" simplePos="0" relativeHeight="251745280" behindDoc="0" locked="0" layoutInCell="1" allowOverlap="1">
                  <wp:simplePos x="0" y="0"/>
                  <wp:positionH relativeFrom="column">
                    <wp:posOffset>0</wp:posOffset>
                  </wp:positionH>
                  <wp:positionV relativeFrom="paragraph">
                    <wp:posOffset>-1135380</wp:posOffset>
                  </wp:positionV>
                  <wp:extent cx="1393825" cy="1238885"/>
                  <wp:effectExtent l="0" t="0" r="15875" b="18415"/>
                  <wp:wrapTopAndBottom/>
                  <wp:docPr id="81" name="图片 81" descr="L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LED MODEL"/>
                          <pic:cNvPicPr>
                            <a:picLocks noChangeAspect="1"/>
                          </pic:cNvPicPr>
                        </pic:nvPicPr>
                        <pic:blipFill>
                          <a:blip r:embed="rId18"/>
                          <a:stretch>
                            <a:fillRect/>
                          </a:stretch>
                        </pic:blipFill>
                        <pic:spPr>
                          <a:xfrm>
                            <a:off x="0" y="0"/>
                            <a:ext cx="1393825" cy="1238885"/>
                          </a:xfrm>
                          <a:prstGeom prst="rect">
                            <a:avLst/>
                          </a:prstGeom>
                        </pic:spPr>
                      </pic:pic>
                    </a:graphicData>
                  </a:graphic>
                </wp:anchor>
              </w:drawing>
            </w:r>
          </w:p>
        </w:tc>
        <w:tc>
          <w:tcPr>
            <w:tcW w:w="2685"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rPr>
              <w:t>作品以黑白线条构建纯粹的抽象空间，将数学逻辑转化为可感知的视觉秩序。直线、曲线、网格与旋转在画面中不断推演，形成类似公式演算般的节奏变化。线条的生长、叠加与断裂，既遵循精密的比例关系，又在微小偏移中释放不确定性。作品试图以最克制的色彩与最理性的结构，探讨“规律”与“偏差”之间的张力，让观众在冷静的数学美感中，感受到秩序背后潜藏的情绪脉动与能量流动。</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Restungsschmie.de（德国）</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24000</w:t>
            </w:r>
          </w:p>
        </w:tc>
        <w:tc>
          <w:tcPr>
            <w:tcW w:w="224"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5</w:t>
            </w:r>
          </w:p>
        </w:tc>
        <w:tc>
          <w:tcPr>
            <w:tcW w:w="924"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r>
              <w:rPr>
                <w:sz w:val="18"/>
                <w:szCs w:val="18"/>
                <w:highlight w:val="none"/>
              </w:rPr>
              <w:drawing>
                <wp:anchor distT="0" distB="0" distL="114300" distR="114300" simplePos="0" relativeHeight="251746304" behindDoc="0" locked="0" layoutInCell="1" allowOverlap="1">
                  <wp:simplePos x="0" y="0"/>
                  <wp:positionH relativeFrom="column">
                    <wp:posOffset>0</wp:posOffset>
                  </wp:positionH>
                  <wp:positionV relativeFrom="paragraph">
                    <wp:posOffset>-678180</wp:posOffset>
                  </wp:positionV>
                  <wp:extent cx="1330960" cy="789940"/>
                  <wp:effectExtent l="0" t="0" r="2540" b="10160"/>
                  <wp:wrapTopAndBottom/>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19"/>
                          <a:stretch>
                            <a:fillRect/>
                          </a:stretch>
                        </pic:blipFill>
                        <pic:spPr>
                          <a:xfrm>
                            <a:off x="0" y="0"/>
                            <a:ext cx="1330960" cy="789940"/>
                          </a:xfrm>
                          <a:prstGeom prst="rect">
                            <a:avLst/>
                          </a:prstGeom>
                          <a:noFill/>
                          <a:ln>
                            <a:noFill/>
                          </a:ln>
                        </pic:spPr>
                      </pic:pic>
                    </a:graphicData>
                  </a:graphic>
                </wp:anchor>
              </w:drawing>
            </w:r>
          </w:p>
        </w:tc>
        <w:tc>
          <w:tcPr>
            <w:tcW w:w="2685" w:type="pct"/>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sz w:val="18"/>
                <w:szCs w:val="18"/>
                <w:highlight w:val="none"/>
                <w:vertAlign w:val="baseline"/>
              </w:rPr>
            </w:pPr>
            <w:r>
              <w:rPr>
                <w:rFonts w:hint="eastAsia" w:ascii="方正仿宋_GB2312" w:hAnsi="方正仿宋_GB2312" w:eastAsia="方正仿宋_GB2312" w:cs="方正仿宋_GB2312"/>
                <w:sz w:val="18"/>
                <w:szCs w:val="18"/>
                <w:highlight w:val="none"/>
                <w:vertAlign w:val="baseline"/>
              </w:rPr>
              <w:t>《Aeon》唤起塑造史前世界的原初能量，那是地球仍处于持续变化中</w:t>
            </w: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生命以最本能形态诞生的时代。作品并非再现具体的远古景象，而是指向深藏于地球最深层的古老节律</w:t>
            </w:r>
            <w:r>
              <w:rPr>
                <w:rFonts w:hint="eastAsia" w:ascii="方正仿宋_GB2312" w:hAnsi="方正仿宋_GB2312" w:eastAsia="方正仿宋_GB2312" w:cs="方正仿宋_GB2312"/>
                <w:sz w:val="18"/>
                <w:szCs w:val="18"/>
                <w:highlight w:val="none"/>
                <w:vertAlign w:val="baseline"/>
                <w:lang w:eastAsia="zh-CN"/>
              </w:rPr>
              <w:t>：</w:t>
            </w:r>
            <w:r>
              <w:rPr>
                <w:rFonts w:hint="eastAsia" w:ascii="方正仿宋_GB2312" w:hAnsi="方正仿宋_GB2312" w:eastAsia="方正仿宋_GB2312" w:cs="方正仿宋_GB2312"/>
                <w:sz w:val="18"/>
                <w:szCs w:val="18"/>
                <w:highlight w:val="none"/>
                <w:vertAlign w:val="baseline"/>
              </w:rPr>
              <w:t>曾推动早期生命扩展与原初景观繁盛的能量脉动。它在混沌与秩序之间游走，揭示万物由物成生的本能驱动力，展现生长、演化与消亡本为同一循环。通过抽象而有机的视觉语言，Aeon 让人重新连接地球的深层记忆，将起源视为持续生成的状态，而非遥远的过去。</w:t>
            </w:r>
          </w:p>
        </w:tc>
        <w:tc>
          <w:tcPr>
            <w:tcW w:w="489"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eastAsiaTheme="minorEastAsia"/>
                <w:sz w:val="18"/>
                <w:szCs w:val="18"/>
                <w:highlight w:val="none"/>
                <w:vertAlign w:val="baseline"/>
                <w:lang w:val="en-US" w:eastAsia="zh-CN"/>
              </w:rPr>
            </w:pPr>
            <w:r>
              <w:rPr>
                <w:rFonts w:hint="eastAsia"/>
                <w:sz w:val="18"/>
                <w:szCs w:val="18"/>
                <w:highlight w:val="none"/>
                <w:vertAlign w:val="baseline"/>
                <w:lang w:val="en-US" w:eastAsia="zh-CN"/>
              </w:rPr>
              <w:t>VPM（西班牙）</w:t>
            </w:r>
          </w:p>
        </w:tc>
        <w:tc>
          <w:tcPr>
            <w:tcW w:w="475" w:type="pct"/>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sz w:val="18"/>
                <w:szCs w:val="18"/>
                <w:highlight w:val="none"/>
                <w:vertAlign w:val="baseline"/>
              </w:rPr>
            </w:pPr>
            <w:r>
              <w:rPr>
                <w:rFonts w:hint="eastAsia" w:cs="Times New Roman"/>
                <w:kern w:val="2"/>
                <w:sz w:val="18"/>
                <w:szCs w:val="18"/>
                <w:highlight w:val="none"/>
                <w:vertAlign w:val="baseline"/>
                <w:lang w:val="en-US" w:eastAsia="zh-CN" w:bidi="ar-SA"/>
              </w:rPr>
              <w:t>16000</w:t>
            </w:r>
          </w:p>
        </w:tc>
        <w:tc>
          <w:tcPr>
            <w:tcW w:w="224" w:type="pct"/>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sz w:val="18"/>
                <w:szCs w:val="18"/>
                <w:highlight w:val="none"/>
                <w:vertAlign w:val="baseline"/>
                <w:lang w:val="en-US" w:eastAsia="zh-CN"/>
              </w:rPr>
              <w:t>6</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highlight w:val="none"/>
              </w:rPr>
              <w:drawing>
                <wp:anchor distT="0" distB="0" distL="114300" distR="114300" simplePos="0" relativeHeight="251747328" behindDoc="0" locked="0" layoutInCell="1" allowOverlap="1">
                  <wp:simplePos x="0" y="0"/>
                  <wp:positionH relativeFrom="column">
                    <wp:posOffset>0</wp:posOffset>
                  </wp:positionH>
                  <wp:positionV relativeFrom="paragraph">
                    <wp:posOffset>-544830</wp:posOffset>
                  </wp:positionV>
                  <wp:extent cx="1337310" cy="648335"/>
                  <wp:effectExtent l="0" t="0" r="15240" b="18415"/>
                  <wp:wrapTopAndBottom/>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20"/>
                          <a:stretch>
                            <a:fillRect/>
                          </a:stretch>
                        </pic:blipFill>
                        <pic:spPr>
                          <a:xfrm>
                            <a:off x="0" y="0"/>
                            <a:ext cx="1337310" cy="648335"/>
                          </a:xfrm>
                          <a:prstGeom prst="rect">
                            <a:avLst/>
                          </a:prstGeom>
                          <a:noFill/>
                          <a:ln>
                            <a:noFill/>
                          </a:ln>
                        </pic:spPr>
                      </pic:pic>
                    </a:graphicData>
                  </a:graphic>
                </wp:anchor>
              </w:drawing>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sz w:val="18"/>
                <w:szCs w:val="18"/>
                <w:highlight w:val="none"/>
                <w:vertAlign w:val="baseline"/>
                <w:lang w:val="en-US" w:eastAsia="zh-CN"/>
              </w:rPr>
            </w:pPr>
            <w:r>
              <w:rPr>
                <w:rFonts w:hint="eastAsia" w:ascii="方正仿宋_GB2312" w:hAnsi="方正仿宋_GB2312" w:eastAsia="方正仿宋_GB2312" w:cs="方正仿宋_GB2312"/>
                <w:sz w:val="18"/>
                <w:szCs w:val="18"/>
                <w:highlight w:val="none"/>
                <w:vertAlign w:val="baseline"/>
              </w:rPr>
              <w:t>本作源于“现实隧道”理论，探讨个体如何在潜意识滤镜中感知世界。装置以45组可编程LED光条与同步环绕声构建地下光影结构，让声音与光在空间中流动共振。作品诞生于一处被唤醒的废弃地下空间，将被遗忘的城市结构转化为沉浸式感知现场，引导观众进入一段关于意识、感官与现实的内在旅程</w:t>
            </w:r>
            <w:r>
              <w:rPr>
                <w:rFonts w:hint="eastAsia" w:ascii="方正仿宋_GB2312" w:hAnsi="方正仿宋_GB2312" w:eastAsia="方正仿宋_GB2312" w:cs="方正仿宋_GB2312"/>
                <w:sz w:val="18"/>
                <w:szCs w:val="18"/>
                <w:highlight w:val="none"/>
                <w:vertAlign w:val="baseline"/>
                <w:lang w:eastAsia="zh-CN"/>
              </w:rPr>
              <w:t>。</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Formate（俄罗斯）</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24000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sz w:val="18"/>
                <w:szCs w:val="18"/>
                <w:highlight w:val="none"/>
                <w:vertAlign w:val="baseline"/>
                <w:lang w:val="en-US" w:eastAsia="zh-CN"/>
              </w:rPr>
              <w:t>7</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48352" behindDoc="0" locked="0" layoutInCell="1" allowOverlap="1">
                  <wp:simplePos x="0" y="0"/>
                  <wp:positionH relativeFrom="column">
                    <wp:posOffset>0</wp:posOffset>
                  </wp:positionH>
                  <wp:positionV relativeFrom="paragraph">
                    <wp:posOffset>-1059180</wp:posOffset>
                  </wp:positionV>
                  <wp:extent cx="1398270" cy="1165225"/>
                  <wp:effectExtent l="0" t="0" r="11430" b="15875"/>
                  <wp:wrapTopAndBottom/>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5"/>
                          <a:stretch>
                            <a:fillRect/>
                          </a:stretch>
                        </pic:blipFill>
                        <pic:spPr>
                          <a:xfrm>
                            <a:off x="0" y="0"/>
                            <a:ext cx="1398270" cy="1165225"/>
                          </a:xfrm>
                          <a:prstGeom prst="rect">
                            <a:avLst/>
                          </a:prstGeom>
                          <a:noFill/>
                          <a:ln>
                            <a:noFill/>
                          </a:ln>
                        </pic:spPr>
                      </pic:pic>
                    </a:graphicData>
                  </a:graphic>
                </wp:anchor>
              </w:drawing>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《几木园》MAPPING 作品设置在重庆儿童公园一隅的一座小巧建筑之上，以色彩与光影为画笔，将整面立面化作一部流动的“艺术发展史”。画面从最初的原始涂鸦、图腾符号出发，延展至古典绘画的结构秩序，再到现代主义的解构与重组，最终迈向数字时代的像素、代码与虚拟影像。不同历史阶段的艺术风格在建筑表面不断交替、叠加、演化，像时间被折叠进空间。作品以轻快、通透的方式，将人类艺术千年的探索浓缩为一场适合孩子与家庭共同观看的光影旅程，让艺术史变得可感、可亲，也充满想象力。</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林岭楠（中国）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8</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49376" behindDoc="0" locked="0" layoutInCell="1" allowOverlap="1">
                  <wp:simplePos x="0" y="0"/>
                  <wp:positionH relativeFrom="column">
                    <wp:posOffset>0</wp:posOffset>
                  </wp:positionH>
                  <wp:positionV relativeFrom="paragraph">
                    <wp:posOffset>-640080</wp:posOffset>
                  </wp:positionV>
                  <wp:extent cx="1402080" cy="755015"/>
                  <wp:effectExtent l="0" t="0" r="7620" b="6985"/>
                  <wp:wrapTopAndBottom/>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16"/>
                          <a:stretch>
                            <a:fillRect/>
                          </a:stretch>
                        </pic:blipFill>
                        <pic:spPr>
                          <a:xfrm>
                            <a:off x="0" y="0"/>
                            <a:ext cx="1402080" cy="755015"/>
                          </a:xfrm>
                          <a:prstGeom prst="rect">
                            <a:avLst/>
                          </a:prstGeom>
                          <a:noFill/>
                          <a:ln>
                            <a:noFill/>
                          </a:ln>
                        </pic:spPr>
                      </pic:pic>
                    </a:graphicData>
                  </a:graphic>
                </wp:anchor>
              </w:drawing>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锦上万象》以中国传统丝绸纹样为灵感，比如来自蜀锦、宋锦、侗族织锦等，将千年织造的纹理、色彩与寓意，用MAPPING的方式重新点亮。作品在重庆儿童公园的小小建筑上展开，如同一幅会呼吸的织锦从墙面慢慢铺开。华丽的团花、云纹、瑞兽、羽饰在光影中层层展开，让每个观众看到传统的浪漫，也重新遇见东方纹样的深邃与温柔。它是一块流动的“锦”，把万象之美织进夜色里。</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何嘉铭（中国）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9</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50400" behindDoc="0" locked="0" layoutInCell="1" allowOverlap="1">
                  <wp:simplePos x="0" y="0"/>
                  <wp:positionH relativeFrom="column">
                    <wp:posOffset>0</wp:posOffset>
                  </wp:positionH>
                  <wp:positionV relativeFrom="paragraph">
                    <wp:posOffset>-621030</wp:posOffset>
                  </wp:positionV>
                  <wp:extent cx="1395095" cy="725805"/>
                  <wp:effectExtent l="0" t="0" r="14605" b="17145"/>
                  <wp:wrapTopAndBottom/>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17"/>
                          <a:stretch>
                            <a:fillRect/>
                          </a:stretch>
                        </pic:blipFill>
                        <pic:spPr>
                          <a:xfrm>
                            <a:off x="0" y="0"/>
                            <a:ext cx="1395095" cy="725805"/>
                          </a:xfrm>
                          <a:prstGeom prst="rect">
                            <a:avLst/>
                          </a:prstGeom>
                          <a:noFill/>
                          <a:ln>
                            <a:noFill/>
                          </a:ln>
                        </pic:spPr>
                      </pic:pic>
                    </a:graphicData>
                  </a:graphic>
                </wp:anchor>
              </w:drawing>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滴滴答答》是一首为重庆儿童公园写的色彩序曲，把城市的节奏、儿童的想象力与时间的流动组合成一座会发光的“玩具装置”。作品以积木般的造型、跳动的色块与彩虹能量线条构成童趣世界，每一段节奏都像孩子敲出的滴答声，简单、纯粹又充满生命力。我们希望让来到公园的孩子们像进入一座巨大的梦中工厂，在光影里探索、奔跑、好奇；也让大人们重新想起，被时间遗忘的那一点点“滴滴答答”的童心。</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何琳（中国）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highlight w:val="none"/>
                <w:vertAlign w:val="baseline"/>
                <w:lang w:val="en-US" w:eastAsia="zh-CN"/>
              </w:rPr>
            </w:pP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0" w:hRule="atLeast"/>
        </w:trPr>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10</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eastAsiaTheme="minorEastAsia"/>
                <w:sz w:val="18"/>
                <w:szCs w:val="18"/>
                <w:highlight w:val="none"/>
                <w:vertAlign w:val="baseline"/>
                <w:lang w:eastAsia="zh-CN"/>
              </w:rPr>
              <w:drawing>
                <wp:anchor distT="0" distB="0" distL="114300" distR="114300" simplePos="0" relativeHeight="251751424" behindDoc="0" locked="0" layoutInCell="1" allowOverlap="1">
                  <wp:simplePos x="0" y="0"/>
                  <wp:positionH relativeFrom="column">
                    <wp:posOffset>0</wp:posOffset>
                  </wp:positionH>
                  <wp:positionV relativeFrom="paragraph">
                    <wp:posOffset>-1135380</wp:posOffset>
                  </wp:positionV>
                  <wp:extent cx="1393825" cy="1238885"/>
                  <wp:effectExtent l="0" t="0" r="15875" b="18415"/>
                  <wp:wrapTopAndBottom/>
                  <wp:docPr id="87" name="图片 87" descr="L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LED MODEL"/>
                          <pic:cNvPicPr>
                            <a:picLocks noChangeAspect="1"/>
                          </pic:cNvPicPr>
                        </pic:nvPicPr>
                        <pic:blipFill>
                          <a:blip r:embed="rId18"/>
                          <a:stretch>
                            <a:fillRect/>
                          </a:stretch>
                        </pic:blipFill>
                        <pic:spPr>
                          <a:xfrm>
                            <a:off x="0" y="0"/>
                            <a:ext cx="1393825" cy="1238885"/>
                          </a:xfrm>
                          <a:prstGeom prst="rect">
                            <a:avLst/>
                          </a:prstGeom>
                        </pic:spPr>
                      </pic:pic>
                    </a:graphicData>
                  </a:graphic>
                </wp:anchor>
              </w:drawing>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这部作品以重庆独特的山地肌理与江水气象为灵感，以蒸汽朋克的工业质感重新解读城市的能量与脉动。作品将火锅、脸谱、雾气、钢铁、机械、山城坡道等在地元素融入一条狂野的视觉旅程，让传统山水意象在高压蒸汽与机械动力中焕发新生命。整体风格受到《疯狂的麦克斯》启发，带有末世张力与粗粝美学，却依然保留重庆山水的磅礴与灵魂。它既是对山城现实的再造，也是对未来山水的一次想象。</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朱俊杰（中国）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highlight w:val="none"/>
                <w:vertAlign w:val="baseline"/>
                <w:lang w:val="en-US" w:eastAsia="zh-CN"/>
              </w:rPr>
            </w:pP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11</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740160" behindDoc="1" locked="0" layoutInCell="1" allowOverlap="1">
                  <wp:simplePos x="0" y="0"/>
                  <wp:positionH relativeFrom="column">
                    <wp:posOffset>-32385</wp:posOffset>
                  </wp:positionH>
                  <wp:positionV relativeFrom="paragraph">
                    <wp:posOffset>342900</wp:posOffset>
                  </wp:positionV>
                  <wp:extent cx="1437640" cy="853440"/>
                  <wp:effectExtent l="0" t="0" r="10160" b="3810"/>
                  <wp:wrapTight wrapText="bothSides">
                    <wp:wrapPolygon>
                      <wp:start x="0" y="0"/>
                      <wp:lineTo x="0" y="21214"/>
                      <wp:lineTo x="21180" y="21214"/>
                      <wp:lineTo x="21180" y="0"/>
                      <wp:lineTo x="0" y="0"/>
                    </wp:wrapPolygon>
                  </wp:wrapTight>
                  <wp:docPr id="88" name="图片 88" descr="0e4a8652567feae527dc027797c3b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0e4a8652567feae527dc027797c3b847"/>
                          <pic:cNvPicPr>
                            <a:picLocks noChangeAspect="1"/>
                          </pic:cNvPicPr>
                        </pic:nvPicPr>
                        <pic:blipFill>
                          <a:blip r:embed="rId21"/>
                          <a:stretch>
                            <a:fillRect/>
                          </a:stretch>
                        </pic:blipFill>
                        <pic:spPr>
                          <a:xfrm>
                            <a:off x="0" y="0"/>
                            <a:ext cx="1437640" cy="853440"/>
                          </a:xfrm>
                          <a:prstGeom prst="rect">
                            <a:avLst/>
                          </a:prstGeom>
                        </pic:spPr>
                      </pic:pic>
                    </a:graphicData>
                  </a:graphic>
                </wp:anchor>
              </w:drawing>
            </w:r>
            <w:r>
              <w:rPr>
                <w:rFonts w:hint="eastAsia"/>
                <w:sz w:val="18"/>
                <w:szCs w:val="18"/>
                <w:highlight w:val="none"/>
                <w:vertAlign w:val="baseline"/>
                <w:lang w:val="en-US" w:eastAsia="zh-CN"/>
              </w:rPr>
              <w:t>室外纱幕</w:t>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来到世界的第一年》以孩子的视角展开叙事。孩子眼中的世界没有边界，他们相信风会歌唱、光能呼吸、树木会低语，连尘埃也闪烁着生命的光。作品试图还原这种最纯粹的感知状态，用柔和的色彩与流动的节奏去描绘自然的脉动与生命的节律。光与影在画面中不断交织、呼吸、伸展，如同心跳的频率，带领观者进入一个既真实又梦幻的时空。每一束光都像是一种情感的触须，轻轻连接起观者与世界的温度。我们希望观众在这段光影旅程中，能暂时放下成人世界的理性，重新感受那份久违的惊奇与温柔，找回与自然、与生命、与爱之间最原初的共鸣。</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王奋（中国）</w:t>
            </w:r>
          </w:p>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default"/>
                <w:sz w:val="18"/>
                <w:szCs w:val="18"/>
                <w:highlight w:val="none"/>
                <w:vertAlign w:val="baseline"/>
                <w:lang w:val="en-US" w:eastAsia="zh-CN"/>
              </w:rPr>
            </w:pP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12</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52448" behindDoc="0" locked="0" layoutInCell="1" allowOverlap="1">
                  <wp:simplePos x="0" y="0"/>
                  <wp:positionH relativeFrom="column">
                    <wp:posOffset>0</wp:posOffset>
                  </wp:positionH>
                  <wp:positionV relativeFrom="paragraph">
                    <wp:posOffset>-678180</wp:posOffset>
                  </wp:positionV>
                  <wp:extent cx="1327785" cy="781685"/>
                  <wp:effectExtent l="0" t="0" r="5715" b="18415"/>
                  <wp:wrapTopAndBottom/>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1"/>
                          </pic:cNvPicPr>
                        </pic:nvPicPr>
                        <pic:blipFill>
                          <a:blip r:embed="rId22"/>
                          <a:stretch>
                            <a:fillRect/>
                          </a:stretch>
                        </pic:blipFill>
                        <pic:spPr>
                          <a:xfrm>
                            <a:off x="0" y="0"/>
                            <a:ext cx="1327785" cy="781685"/>
                          </a:xfrm>
                          <a:prstGeom prst="rect">
                            <a:avLst/>
                          </a:prstGeom>
                          <a:noFill/>
                          <a:ln>
                            <a:noFill/>
                          </a:ln>
                        </pic:spPr>
                      </pic:pic>
                    </a:graphicData>
                  </a:graphic>
                </wp:anchor>
              </w:drawing>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这部作品通过多个富有层次的段落，带领观众跟随飞船前往外星球，探索一个全新的异世界文明。故事从飞船的降落开始，逐渐引导观众进入这个充满奇幻色彩的外星环境，见证了异世界的生命与文明从诞生到进化的过程。每一段动画都通过精致的设计，展现了这个文明在时间与空间中不断变化与发展的脆弱与坚韧。从海洋中的奇异生物，到冰封的严冬，再到暴风雨的肆虐，生命在困境中顽强演化。随着文明达到顶峰，生命形式逐渐蜕变，最终回归到飞船的起点，象征着一个文明的轮回。</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作品的设计理念围绕“探索与启发”展开，通过细腻的视觉表现与动感的粒子、光影效果，带领观众感知并思考外星文明的无常与美丽。通过对这个异世界文明的了解，触发了对生命、进化和存在的深刻思考，观众不禁反思人类文明与自然的关系。最终，所有的探索归于平静，飞船再次升空，留给观众的是对未知世界的敬畏与对生命短暂瞬间的珍惜。</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龙冠峰（中国）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asciiTheme="minorHAnsi" w:hAnsiTheme="minorHAnsi" w:eastAsiaTheme="minorEastAsia" w:cstheme="minorBidi"/>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13</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sz w:val="18"/>
                <w:szCs w:val="18"/>
                <w:highlight w:val="none"/>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739136" behindDoc="0" locked="0" layoutInCell="1" allowOverlap="1">
                  <wp:simplePos x="0" y="0"/>
                  <wp:positionH relativeFrom="column">
                    <wp:posOffset>-32385</wp:posOffset>
                  </wp:positionH>
                  <wp:positionV relativeFrom="paragraph">
                    <wp:posOffset>279400</wp:posOffset>
                  </wp:positionV>
                  <wp:extent cx="1436370" cy="777875"/>
                  <wp:effectExtent l="0" t="0" r="11430" b="3175"/>
                  <wp:wrapTopAndBottom/>
                  <wp:docPr id="90" name="图片 90" descr="da9864dcb80f6eec50e5f8f3d8139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da9864dcb80f6eec50e5f8f3d81391f3"/>
                          <pic:cNvPicPr>
                            <a:picLocks noChangeAspect="1"/>
                          </pic:cNvPicPr>
                        </pic:nvPicPr>
                        <pic:blipFill>
                          <a:blip r:embed="rId23"/>
                          <a:stretch>
                            <a:fillRect/>
                          </a:stretch>
                        </pic:blipFill>
                        <pic:spPr>
                          <a:xfrm>
                            <a:off x="0" y="0"/>
                            <a:ext cx="1436370" cy="777875"/>
                          </a:xfrm>
                          <a:prstGeom prst="rect">
                            <a:avLst/>
                          </a:prstGeom>
                        </pic:spPr>
                      </pic:pic>
                    </a:graphicData>
                  </a:graphic>
                </wp:anchor>
              </w:drawing>
            </w:r>
            <w:r>
              <w:rPr>
                <w:rFonts w:hint="eastAsia"/>
                <w:sz w:val="18"/>
                <w:szCs w:val="18"/>
                <w:highlight w:val="none"/>
                <w:vertAlign w:val="baseline"/>
                <w:lang w:val="en-US" w:eastAsia="zh-CN"/>
              </w:rPr>
              <w:t>室内纱幕</w:t>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本次作品以纱幕为主要载体，画面语言极简克制，强调线条、光影与节奏的纯粹关系，呈现出具有现代感的视觉气质。影像不再承担叙事功能，而是作为一种“呼吸中的空间”，与舞蹈演员的即兴身体动作形成实时对话。舞者的每一次伸展、回旋与停顿，都会被纱幕上的光影放大、回应与延展，仿佛生命在虚实之间彼此牵引。作品试图从最本质的层面出发，探讨生命的流动、感知与存在状态，让观众在极简与留白中，重新感受身体、时间与生命本身的微妙关联。</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周强（中国）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14</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sz w:val="18"/>
                <w:szCs w:val="18"/>
                <w:highlight w:val="none"/>
                <w:vertAlign w:val="baseline"/>
                <w:lang w:val="en-US" w:eastAsia="zh-CN"/>
              </w:rPr>
            </w:pPr>
            <w:r>
              <w:rPr>
                <w:highlight w:val="none"/>
              </w:rPr>
              <w:drawing>
                <wp:anchor distT="0" distB="0" distL="114300" distR="114300" simplePos="0" relativeHeight="251753472" behindDoc="0" locked="0" layoutInCell="1" allowOverlap="1">
                  <wp:simplePos x="0" y="0"/>
                  <wp:positionH relativeFrom="column">
                    <wp:posOffset>0</wp:posOffset>
                  </wp:positionH>
                  <wp:positionV relativeFrom="paragraph">
                    <wp:posOffset>-601980</wp:posOffset>
                  </wp:positionV>
                  <wp:extent cx="1335405" cy="710565"/>
                  <wp:effectExtent l="0" t="0" r="17145" b="13335"/>
                  <wp:wrapTopAndBottom/>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24"/>
                          <a:stretch>
                            <a:fillRect/>
                          </a:stretch>
                        </pic:blipFill>
                        <pic:spPr>
                          <a:xfrm>
                            <a:off x="0" y="0"/>
                            <a:ext cx="1335405" cy="710565"/>
                          </a:xfrm>
                          <a:prstGeom prst="rect">
                            <a:avLst/>
                          </a:prstGeom>
                          <a:noFill/>
                          <a:ln>
                            <a:noFill/>
                          </a:ln>
                        </pic:spPr>
                      </pic:pic>
                    </a:graphicData>
                  </a:graphic>
                </wp:anchor>
              </w:drawing>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在数据洪流与信息共振的时代，我们所处的现实早已不止于物理世界，而是一个由信号、光线、算法交织而成的全息维度。X讯号是一组基于LED影像装置的视觉实验，它并非简单的光影投射，而是一种数字秩序与混沌意识之间的对话。</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几何结构在信号流动中构建与瓦解，空间在光的折叠中不断重塑，如同信息社会的脉搏，以碎片化的节奏运行，却始终指向某种隐形的秩序。X既是未知，也是变量，是坐标轴上的不确定点，象征着科技、智能、现实与虚拟交汇的临界状态。</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这里的光不是被动的，而是主动生长的：它在数据的驱动下生成，不断演算、变化，如同意识流动，映射着数字时代的存在方式。每个瞬间都是独立的，一个信号的跃动便足以改变全局。X讯号是超越视觉表象的实验，它质问着未来的信息矩阵：当所有信号彼此连接，我们是否仍能看见真正的自己？</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r>
              <w:rPr>
                <w:rFonts w:hint="eastAsia"/>
                <w:sz w:val="18"/>
                <w:szCs w:val="18"/>
                <w:highlight w:val="none"/>
                <w:vertAlign w:val="baseline"/>
                <w:lang w:val="en-US" w:eastAsia="zh-CN"/>
              </w:rPr>
              <w:t>王奋（中国）</w:t>
            </w:r>
          </w:p>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sz w:val="18"/>
                <w:szCs w:val="18"/>
                <w:highlight w:val="none"/>
                <w:vertAlign w:val="baseline"/>
                <w:lang w:val="en-US" w:eastAsia="zh-CN"/>
              </w:rPr>
            </w:pP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15</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741184" behindDoc="1" locked="0" layoutInCell="1" allowOverlap="1">
                  <wp:simplePos x="0" y="0"/>
                  <wp:positionH relativeFrom="column">
                    <wp:posOffset>-32385</wp:posOffset>
                  </wp:positionH>
                  <wp:positionV relativeFrom="paragraph">
                    <wp:posOffset>326390</wp:posOffset>
                  </wp:positionV>
                  <wp:extent cx="1437640" cy="853440"/>
                  <wp:effectExtent l="0" t="0" r="10160" b="3810"/>
                  <wp:wrapTight wrapText="bothSides">
                    <wp:wrapPolygon>
                      <wp:start x="0" y="0"/>
                      <wp:lineTo x="0" y="21214"/>
                      <wp:lineTo x="21180" y="21214"/>
                      <wp:lineTo x="21180" y="0"/>
                      <wp:lineTo x="0" y="0"/>
                    </wp:wrapPolygon>
                  </wp:wrapTight>
                  <wp:docPr id="92" name="图片 92" descr="0e4a8652567feae527dc027797c3b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e4a8652567feae527dc027797c3b847"/>
                          <pic:cNvPicPr>
                            <a:picLocks noChangeAspect="1"/>
                          </pic:cNvPicPr>
                        </pic:nvPicPr>
                        <pic:blipFill>
                          <a:blip r:embed="rId21"/>
                          <a:stretch>
                            <a:fillRect/>
                          </a:stretch>
                        </pic:blipFill>
                        <pic:spPr>
                          <a:xfrm>
                            <a:off x="0" y="0"/>
                            <a:ext cx="1437640" cy="853440"/>
                          </a:xfrm>
                          <a:prstGeom prst="rect">
                            <a:avLst/>
                          </a:prstGeom>
                        </pic:spPr>
                      </pic:pic>
                    </a:graphicData>
                  </a:graphic>
                </wp:anchor>
              </w:drawing>
            </w:r>
            <w:r>
              <w:rPr>
                <w:rFonts w:hint="eastAsia"/>
                <w:sz w:val="18"/>
                <w:szCs w:val="18"/>
                <w:highlight w:val="none"/>
                <w:vertAlign w:val="baseline"/>
                <w:lang w:val="en-US" w:eastAsia="zh-CN"/>
              </w:rPr>
              <w:t>室外纱幕</w:t>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作品《涟漪》构建了一个“万物皆有回响”的隐喻世界。这里的世界并非沉默的背景，而是拥有集体记忆与情感的庞大生命体，是与人类意识平行交织的另一重存在。人类与之，是持续地观察与被观察。这个世界从不被动承受，它以深不可测的智慧与耐心，对人类的一举一动做出精微的回应：每一次季候变迁、每一场生态波动，都是它无声而有力的语言。</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由此，我们试图探讨一个根源性问题，并给出我们的理解：世间没有绝对的静止，只有未被察觉的回响。从城市天际线的攀升到自然风浪的翻涌，从生命个体的悸动到文明节律的流转……波动，是万物共通的语言。这无形的纽带最终揭示：人与世界，观察者与被观察者，本就是同一张波动网络中相互映照、共同创造的共生体。</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渲艺山河（中国）</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16</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heme="minorHAnsi" w:hAnsiTheme="minorHAnsi" w:eastAsiaTheme="minorEastAsia" w:cstheme="minorBidi"/>
                <w:kern w:val="2"/>
                <w:sz w:val="18"/>
                <w:szCs w:val="18"/>
                <w:vertAlign w:val="baseline"/>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754496" behindDoc="0" locked="0" layoutInCell="1" allowOverlap="1">
                  <wp:simplePos x="0" y="0"/>
                  <wp:positionH relativeFrom="column">
                    <wp:posOffset>-35560</wp:posOffset>
                  </wp:positionH>
                  <wp:positionV relativeFrom="paragraph">
                    <wp:posOffset>193040</wp:posOffset>
                  </wp:positionV>
                  <wp:extent cx="1346200" cy="1513205"/>
                  <wp:effectExtent l="0" t="0" r="6350" b="10795"/>
                  <wp:wrapTopAndBottom/>
                  <wp:docPr id="9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descr="IMG_256"/>
                          <pic:cNvPicPr>
                            <a:picLocks noChangeAspect="1"/>
                          </pic:cNvPicPr>
                        </pic:nvPicPr>
                        <pic:blipFill>
                          <a:blip r:embed="rId25"/>
                          <a:stretch>
                            <a:fillRect/>
                          </a:stretch>
                        </pic:blipFill>
                        <pic:spPr>
                          <a:xfrm>
                            <a:off x="0" y="0"/>
                            <a:ext cx="1346200" cy="1513205"/>
                          </a:xfrm>
                          <a:prstGeom prst="rect">
                            <a:avLst/>
                          </a:prstGeom>
                          <a:noFill/>
                          <a:ln w="9525">
                            <a:noFill/>
                          </a:ln>
                        </pic:spPr>
                      </pic:pic>
                    </a:graphicData>
                  </a:graphic>
                </wp:anchor>
              </w:drawing>
            </w:r>
            <w:r>
              <w:rPr>
                <w:rFonts w:hint="eastAsia"/>
                <w:sz w:val="18"/>
                <w:szCs w:val="18"/>
                <w:vertAlign w:val="baseline"/>
                <w:lang w:val="en-US" w:eastAsia="zh-CN"/>
              </w:rPr>
              <w:t>圆馆交互</w:t>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摄像头体感交互程序*5</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本项目由五个独立的房间构成，每个房间均呈现一个独具个性的人物造型，并搭载一套完整的可交互系统。</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五个房间，五位角色，五段截然不同的沉浸式旅程，共同构建了一个多元化的叙事体验空间。</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sz w:val="18"/>
                <w:szCs w:val="18"/>
                <w:vertAlign w:val="baseline"/>
                <w:lang w:val="en-US" w:eastAsia="zh-CN"/>
              </w:rPr>
              <w:t>裴峰（叶师父）</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17</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sz w:val="18"/>
                <w:szCs w:val="18"/>
                <w:vertAlign w:val="baseline"/>
                <w:lang w:val="en-US" w:eastAsia="zh-CN"/>
              </w:rPr>
            </w:pPr>
            <w:r>
              <w:rPr>
                <w:rFonts w:ascii="宋体" w:hAnsi="宋体" w:eastAsia="宋体" w:cs="宋体"/>
                <w:kern w:val="0"/>
                <w:sz w:val="24"/>
                <w:szCs w:val="24"/>
                <w:lang w:val="en-US" w:eastAsia="zh-CN" w:bidi="ar"/>
              </w:rPr>
              <w:drawing>
                <wp:anchor distT="0" distB="0" distL="114300" distR="114300" simplePos="0" relativeHeight="251755520" behindDoc="0" locked="0" layoutInCell="1" allowOverlap="1">
                  <wp:simplePos x="0" y="0"/>
                  <wp:positionH relativeFrom="column">
                    <wp:posOffset>-17780</wp:posOffset>
                  </wp:positionH>
                  <wp:positionV relativeFrom="paragraph">
                    <wp:posOffset>160655</wp:posOffset>
                  </wp:positionV>
                  <wp:extent cx="1334770" cy="751205"/>
                  <wp:effectExtent l="0" t="0" r="17780" b="10795"/>
                  <wp:wrapTopAndBottom/>
                  <wp:docPr id="9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descr="IMG_256"/>
                          <pic:cNvPicPr>
                            <a:picLocks noChangeAspect="1"/>
                          </pic:cNvPicPr>
                        </pic:nvPicPr>
                        <pic:blipFill>
                          <a:blip r:embed="rId26"/>
                          <a:stretch>
                            <a:fillRect/>
                          </a:stretch>
                        </pic:blipFill>
                        <pic:spPr>
                          <a:xfrm>
                            <a:off x="0" y="0"/>
                            <a:ext cx="1334770" cy="751205"/>
                          </a:xfrm>
                          <a:prstGeom prst="rect">
                            <a:avLst/>
                          </a:prstGeom>
                          <a:noFill/>
                          <a:ln w="9525">
                            <a:noFill/>
                          </a:ln>
                        </pic:spPr>
                      </pic:pic>
                    </a:graphicData>
                  </a:graphic>
                </wp:anchor>
              </w:drawing>
            </w:r>
            <w:r>
              <w:rPr>
                <w:rFonts w:hint="eastAsia"/>
                <w:sz w:val="18"/>
                <w:szCs w:val="18"/>
                <w:vertAlign w:val="baseline"/>
                <w:lang w:val="en-US" w:eastAsia="zh-CN"/>
              </w:rPr>
              <w:t>圆馆影像装置</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pPr>
          </w:p>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default" w:asciiTheme="minorHAnsi" w:hAnsiTheme="minorHAnsi" w:eastAsiaTheme="minorEastAsia" w:cstheme="minorBidi"/>
                <w:kern w:val="2"/>
                <w:sz w:val="18"/>
                <w:szCs w:val="18"/>
                <w:vertAlign w:val="baseline"/>
                <w:lang w:val="en-US" w:eastAsia="zh-CN" w:bidi="ar-SA"/>
              </w:rPr>
            </w:pP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《旷野之息》思辨设计影像装置，探讨了在算力成为稀缺资源的未来中，人类与数字生命之间的脆弱关系。</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sz w:val="18"/>
                <w:szCs w:val="18"/>
                <w:vertAlign w:val="baseline"/>
                <w:lang w:val="en-US" w:eastAsia="zh-CN"/>
              </w:rPr>
              <w:t>黄炜</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18</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eastAsiaTheme="minorEastAsia"/>
                <w:sz w:val="18"/>
                <w:szCs w:val="18"/>
                <w:vertAlign w:val="baseline"/>
                <w:lang w:eastAsia="zh-CN"/>
              </w:rPr>
              <w:drawing>
                <wp:anchor distT="0" distB="0" distL="114300" distR="114300" simplePos="0" relativeHeight="251756544" behindDoc="0" locked="0" layoutInCell="1" allowOverlap="1">
                  <wp:simplePos x="0" y="0"/>
                  <wp:positionH relativeFrom="column">
                    <wp:posOffset>0</wp:posOffset>
                  </wp:positionH>
                  <wp:positionV relativeFrom="paragraph">
                    <wp:posOffset>-1135380</wp:posOffset>
                  </wp:positionV>
                  <wp:extent cx="1393825" cy="1238885"/>
                  <wp:effectExtent l="0" t="0" r="15875" b="18415"/>
                  <wp:wrapTopAndBottom/>
                  <wp:docPr id="95" name="图片 95" descr="L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LED MODEL"/>
                          <pic:cNvPicPr>
                            <a:picLocks noChangeAspect="1"/>
                          </pic:cNvPicPr>
                        </pic:nvPicPr>
                        <pic:blipFill>
                          <a:blip r:embed="rId18"/>
                          <a:stretch>
                            <a:fillRect/>
                          </a:stretch>
                        </pic:blipFill>
                        <pic:spPr>
                          <a:xfrm>
                            <a:off x="0" y="0"/>
                            <a:ext cx="1393825" cy="1238885"/>
                          </a:xfrm>
                          <a:prstGeom prst="rect">
                            <a:avLst/>
                          </a:prstGeom>
                        </pic:spPr>
                      </pic:pic>
                    </a:graphicData>
                  </a:graphic>
                </wp:anchor>
              </w:drawing>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核心概念： 剥离色彩，以极简的黑白几何图形，展现纯粹的数字节奏与建筑韵律。</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视觉描述： 作品仅使用黑、白、灰三种色调。基础几何图形（方块、线条、圆点）如同跳动的音符，跟随音乐的节拍进行精准而富有张力的位移、缩放、闪烁与重复。强烈的对比度创造出清晰的视觉焦点与深邃的空间层次。图形运动轨迹干净利落，形成一种类似机械精密舞步或数据可视化的冷静美感，在秩序中迸发出内在的活力。</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李洲洲</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19</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vertAlign w:val="baseline"/>
                <w:lang w:val="en-US" w:eastAsia="zh-CN" w:bidi="ar-SA"/>
              </w:rPr>
            </w:pPr>
            <w:r>
              <w:rPr>
                <w:sz w:val="18"/>
                <w:szCs w:val="18"/>
              </w:rPr>
              <w:drawing>
                <wp:anchor distT="0" distB="0" distL="114300" distR="114300" simplePos="0" relativeHeight="251757568" behindDoc="0" locked="0" layoutInCell="1" allowOverlap="1">
                  <wp:simplePos x="0" y="0"/>
                  <wp:positionH relativeFrom="column">
                    <wp:posOffset>0</wp:posOffset>
                  </wp:positionH>
                  <wp:positionV relativeFrom="paragraph">
                    <wp:posOffset>-621030</wp:posOffset>
                  </wp:positionV>
                  <wp:extent cx="1395095" cy="725805"/>
                  <wp:effectExtent l="0" t="0" r="14605" b="17145"/>
                  <wp:wrapTopAndBottom/>
                  <wp:docPr id="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
                          <pic:cNvPicPr>
                            <a:picLocks noChangeAspect="1"/>
                          </pic:cNvPicPr>
                        </pic:nvPicPr>
                        <pic:blipFill>
                          <a:blip r:embed="rId17"/>
                          <a:stretch>
                            <a:fillRect/>
                          </a:stretch>
                        </pic:blipFill>
                        <pic:spPr>
                          <a:xfrm>
                            <a:off x="0" y="0"/>
                            <a:ext cx="1395095" cy="725805"/>
                          </a:xfrm>
                          <a:prstGeom prst="rect">
                            <a:avLst/>
                          </a:prstGeom>
                          <a:noFill/>
                          <a:ln>
                            <a:noFill/>
                          </a:ln>
                        </pic:spPr>
                      </pic:pic>
                    </a:graphicData>
                  </a:graphic>
                </wp:anchor>
              </w:drawing>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核心概念： 将儿童公园的门头字母转化为抽象线条流动的载体。</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视觉描述： 作品以公园色彩明快的门头字母为画布，冷色调的抽象线条如光之溪流，从字母边缘生长、缠绕、流淌。线条的运动充满童真般的随机与灵动，时而汇聚成闪烁的星点，时而如柔滑的丝带滑过字母表面。坚硬的字母结构因内部流动的能量而被“软化”，产生一种理性结构与感性流动共舞的奇妙视觉。</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周杨小晓</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20</w:t>
            </w:r>
          </w:p>
        </w:tc>
        <w:tc>
          <w:tcPr>
            <w:tcW w:w="924" w:type="pct"/>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pPr>
            <w:r>
              <w:rPr>
                <w:rFonts w:ascii="宋体" w:hAnsi="宋体" w:eastAsia="宋体" w:cs="宋体"/>
                <w:kern w:val="0"/>
                <w:sz w:val="24"/>
                <w:szCs w:val="24"/>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-887730</wp:posOffset>
                  </wp:positionV>
                  <wp:extent cx="1333500" cy="999490"/>
                  <wp:effectExtent l="0" t="0" r="0" b="10160"/>
                  <wp:wrapTopAndBottom/>
                  <wp:docPr id="9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descr="IMG_256"/>
                          <pic:cNvPicPr>
                            <a:picLocks noChangeAspect="1"/>
                          </pic:cNvPicPr>
                        </pic:nvPicPr>
                        <pic:blipFill>
                          <a:blip r:embed="rId27"/>
                          <a:stretch>
                            <a:fillRect/>
                          </a:stretch>
                        </pic:blipFill>
                        <pic:spPr>
                          <a:xfrm>
                            <a:off x="0" y="0"/>
                            <a:ext cx="1333500" cy="999490"/>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lang w:val="en-US" w:eastAsia="zh-CN" w:bidi="ar-SA"/>
              </w:rPr>
            </w:pP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核心概念： 用数万颗动态彩色波点，模拟一场无限绽放的数码繁花盛宴。</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视觉描述： 作品脱离具体形态，以高饱和度的鲜艳波点作为基本像素。无数波点以呼吸般的节奏不断聚合、扩散、旋转，时而形成巨大的花朵轮廓瞬间怒放，时而分解为绚烂的星云漩涡。色彩在红、紫、蓝、粉之间梦幻渐变，波点间重叠、透叠产生的视觉混合，让整体画面充满旺盛的生命力与欢乐的庆典感。</w:t>
            </w: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vertAlign w:val="baseline"/>
                <w:lang w:val="en-US" w:eastAsia="zh-CN" w:bidi="ar-SA"/>
              </w:rPr>
            </w:pPr>
            <w:r>
              <w:rPr>
                <w:rFonts w:hint="eastAsia" w:ascii="方正仿宋_GB2312" w:hAnsi="方正仿宋_GB2312" w:eastAsia="方正仿宋_GB2312" w:cs="方正仿宋_GB2312"/>
                <w:kern w:val="2"/>
                <w:sz w:val="18"/>
                <w:szCs w:val="18"/>
                <w:vertAlign w:val="baseline"/>
                <w:lang w:val="en-US" w:eastAsia="zh-CN" w:bidi="ar-SA"/>
              </w:rPr>
              <w:t>体验联想： 如同坠入一个万花筒般的童话梦境，或目睹一场由纯粹色彩与节奏构成的、永不停歇的春日花园狂欢。</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丁为</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vertAlign w:val="baseline"/>
                <w:lang w:val="en-US" w:eastAsia="zh-CN" w:bidi="ar-SA"/>
              </w:rPr>
            </w:pPr>
            <w:r>
              <w:rPr>
                <w:rFonts w:hint="eastAsia" w:cstheme="minorBidi"/>
                <w:kern w:val="2"/>
                <w:sz w:val="18"/>
                <w:szCs w:val="18"/>
                <w:vertAlign w:val="baseline"/>
                <w:lang w:val="en-US" w:eastAsia="zh-CN" w:bidi="ar-SA"/>
              </w:rPr>
              <w:t>21</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59616" behindDoc="0" locked="0" layoutInCell="1" allowOverlap="1">
                  <wp:simplePos x="0" y="0"/>
                  <wp:positionH relativeFrom="column">
                    <wp:posOffset>0</wp:posOffset>
                  </wp:positionH>
                  <wp:positionV relativeFrom="paragraph">
                    <wp:posOffset>-1059180</wp:posOffset>
                  </wp:positionV>
                  <wp:extent cx="1398270" cy="1165225"/>
                  <wp:effectExtent l="0" t="0" r="11430" b="15875"/>
                  <wp:wrapTopAndBottom/>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5"/>
                          <a:stretch>
                            <a:fillRect/>
                          </a:stretch>
                        </pic:blipFill>
                        <pic:spPr>
                          <a:xfrm>
                            <a:off x="0" y="0"/>
                            <a:ext cx="1398270" cy="1165225"/>
                          </a:xfrm>
                          <a:prstGeom prst="rect">
                            <a:avLst/>
                          </a:prstGeom>
                          <a:noFill/>
                          <a:ln>
                            <a:noFill/>
                          </a:ln>
                        </pic:spPr>
                      </pic:pic>
                    </a:graphicData>
                  </a:graphic>
                </wp:anchor>
              </w:drawing>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《几木园》MAPPING 作品设置在重庆儿童公园一隅的一座小巧建筑之上，以色彩与光影为画笔，将整面立面化作一部流动的“艺术发展史”。画面从最初的原始涂鸦、图腾符号出发，延展至古典绘画的结构秩序，再到现代主义的解构与重组，最终迈向数字时代的像素、代码与虚拟影像。不同历史阶段的艺术风格在建筑表面不断交替、叠加、演化，像时间被折叠进空间。作品以轻快、通透的方式，将人类艺术千年的探索浓缩为一场适合孩子与家庭共同观看的光影旅程，让艺术史变得可感、可亲，也充满想象力。</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ascii="Calibri" w:hAnsi="Calibri" w:eastAsia="方正仿宋_GBK" w:cs="Times New Roman"/>
                <w:kern w:val="2"/>
                <w:sz w:val="18"/>
                <w:szCs w:val="18"/>
                <w:highlight w:val="none"/>
                <w:vertAlign w:val="baseline"/>
                <w:lang w:val="en-US" w:eastAsia="zh-CN" w:bidi="ar-SA"/>
              </w:rPr>
              <w:t>刘子豪</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sz w:val="18"/>
                <w:szCs w:val="18"/>
                <w:highlight w:val="none"/>
                <w:vertAlign w:val="baseline"/>
                <w:lang w:val="en-US" w:eastAsia="zh-CN"/>
              </w:rPr>
              <w:t>22</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sz w:val="18"/>
                <w:szCs w:val="18"/>
                <w:highlight w:val="none"/>
              </w:rPr>
              <w:drawing>
                <wp:anchor distT="0" distB="0" distL="114300" distR="114300" simplePos="0" relativeHeight="251760640" behindDoc="0" locked="0" layoutInCell="1" allowOverlap="1">
                  <wp:simplePos x="0" y="0"/>
                  <wp:positionH relativeFrom="column">
                    <wp:posOffset>0</wp:posOffset>
                  </wp:positionH>
                  <wp:positionV relativeFrom="paragraph">
                    <wp:posOffset>-640080</wp:posOffset>
                  </wp:positionV>
                  <wp:extent cx="1402080" cy="755015"/>
                  <wp:effectExtent l="0" t="0" r="7620" b="6985"/>
                  <wp:wrapTopAndBottom/>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pic:cNvPicPr>
                        </pic:nvPicPr>
                        <pic:blipFill>
                          <a:blip r:embed="rId16"/>
                          <a:stretch>
                            <a:fillRect/>
                          </a:stretch>
                        </pic:blipFill>
                        <pic:spPr>
                          <a:xfrm>
                            <a:off x="0" y="0"/>
                            <a:ext cx="1402080" cy="755015"/>
                          </a:xfrm>
                          <a:prstGeom prst="rect">
                            <a:avLst/>
                          </a:prstGeom>
                          <a:noFill/>
                          <a:ln>
                            <a:noFill/>
                          </a:ln>
                        </pic:spPr>
                      </pic:pic>
                    </a:graphicData>
                  </a:graphic>
                </wp:anchor>
              </w:drawing>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锦上万象》以中国传统丝绸纹样为灵感，比如来自蜀锦、宋锦、侗族织锦等，将千年织造的纹理、色彩与寓意，用MAPPING的方式重新点亮。作品在重庆儿童公园的小小建筑上展开，如同一幅会呼吸的织锦从墙面慢慢铺开。华丽的团花、云纹、瑞兽、羽饰在光影中层层展开，让每个观众看到传统的浪漫，也重新遇见东方纹样的深邃与温柔。它是一块流动的“锦”，把万象之美织进夜色里。</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Calibri" w:hAnsi="Calibri" w:eastAsia="方正仿宋_GBK" w:cs="Times New Roman"/>
                <w:kern w:val="2"/>
                <w:sz w:val="18"/>
                <w:szCs w:val="18"/>
                <w:highlight w:val="none"/>
                <w:vertAlign w:val="baseline"/>
                <w:lang w:val="en-US" w:eastAsia="zh-CN" w:bidi="ar-SA"/>
              </w:rPr>
            </w:pPr>
            <w:r>
              <w:rPr>
                <w:rFonts w:hint="eastAsia" w:ascii="Calibri" w:hAnsi="Calibri" w:eastAsia="方正仿宋_GBK" w:cs="Times New Roman"/>
                <w:kern w:val="2"/>
                <w:sz w:val="18"/>
                <w:szCs w:val="18"/>
                <w:highlight w:val="none"/>
                <w:vertAlign w:val="baseline"/>
                <w:lang w:val="en-US" w:eastAsia="zh-CN" w:bidi="ar-SA"/>
              </w:rPr>
              <w:t>徐晗</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ascii="Calibri" w:hAnsi="Calibri" w:eastAsia="方正仿宋_GBK"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23</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738112" behindDoc="0" locked="0" layoutInCell="1" allowOverlap="1">
                  <wp:simplePos x="0" y="0"/>
                  <wp:positionH relativeFrom="column">
                    <wp:posOffset>-25400</wp:posOffset>
                  </wp:positionH>
                  <wp:positionV relativeFrom="paragraph">
                    <wp:posOffset>260350</wp:posOffset>
                  </wp:positionV>
                  <wp:extent cx="1436370" cy="777875"/>
                  <wp:effectExtent l="0" t="0" r="11430" b="3175"/>
                  <wp:wrapSquare wrapText="bothSides"/>
                  <wp:docPr id="100" name="图片 100" descr="da9864dcb80f6eec50e5f8f3d8139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da9864dcb80f6eec50e5f8f3d81391f3"/>
                          <pic:cNvPicPr>
                            <a:picLocks noChangeAspect="1"/>
                          </pic:cNvPicPr>
                        </pic:nvPicPr>
                        <pic:blipFill>
                          <a:blip r:embed="rId23"/>
                          <a:stretch>
                            <a:fillRect/>
                          </a:stretch>
                        </pic:blipFill>
                        <pic:spPr>
                          <a:xfrm>
                            <a:off x="0" y="0"/>
                            <a:ext cx="1436370" cy="777875"/>
                          </a:xfrm>
                          <a:prstGeom prst="rect">
                            <a:avLst/>
                          </a:prstGeom>
                        </pic:spPr>
                      </pic:pic>
                    </a:graphicData>
                  </a:graphic>
                </wp:anchor>
              </w:drawing>
            </w:r>
            <w:r>
              <w:rPr>
                <w:rFonts w:hint="eastAsia"/>
                <w:sz w:val="18"/>
                <w:szCs w:val="18"/>
                <w:highlight w:val="none"/>
                <w:vertAlign w:val="baseline"/>
                <w:lang w:val="en-US" w:eastAsia="zh-CN"/>
              </w:rPr>
              <w:t>室内纱幕</w:t>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本次作品以纱幕为主要载体，画面语言极简克制，强调线条、光影与节奏的纯粹关系，呈现出具有现代感的视觉气质。影像不再承担叙事功能，而是作为一种“呼吸中的空间”，与舞蹈演员的即兴身体动作形成实时对话。舞者的每一次伸展、回旋与停顿，都会被纱幕上的光影放大、回应与延展，仿佛生命在虚实之间彼此牵引。作品试图从最本质的层面出发，探讨生命的流动、感知与存在状态，让观众在极简与留白中，重新感受身体、时间与生命本身的微妙关联。</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孟子然</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heme="minorHAnsi" w:hAnsiTheme="minorHAnsi" w:eastAsiaTheme="minorEastAsia" w:cstheme="minorBidi"/>
                <w:kern w:val="2"/>
                <w:sz w:val="18"/>
                <w:szCs w:val="18"/>
                <w:highlight w:val="none"/>
                <w:vertAlign w:val="baseline"/>
                <w:lang w:val="en-US" w:eastAsia="zh-CN" w:bidi="ar-SA"/>
              </w:rPr>
            </w:pPr>
            <w:r>
              <w:rPr>
                <w:rFonts w:hint="eastAsia" w:cstheme="minorBidi"/>
                <w:kern w:val="2"/>
                <w:sz w:val="18"/>
                <w:szCs w:val="18"/>
                <w:highlight w:val="none"/>
                <w:vertAlign w:val="baseline"/>
                <w:lang w:val="en-US" w:eastAsia="zh-CN" w:bidi="ar-SA"/>
              </w:rPr>
              <w:t>24</w:t>
            </w:r>
          </w:p>
        </w:tc>
        <w:tc>
          <w:tcPr>
            <w:tcW w:w="9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heme="minorHAnsi" w:hAnsiTheme="minorHAnsi" w:eastAsiaTheme="minorEastAsia" w:cstheme="minorBidi"/>
                <w:kern w:val="2"/>
                <w:sz w:val="18"/>
                <w:szCs w:val="18"/>
                <w:highlight w:val="none"/>
                <w:vertAlign w:val="baseline"/>
                <w:lang w:val="en-US" w:eastAsia="zh-CN" w:bidi="ar-SA"/>
              </w:rPr>
            </w:pPr>
            <w:r>
              <w:rPr>
                <w:rFonts w:hint="eastAsia" w:asciiTheme="minorHAnsi" w:hAnsiTheme="minorHAnsi" w:eastAsiaTheme="minorEastAsia" w:cstheme="minorBidi"/>
                <w:kern w:val="2"/>
                <w:sz w:val="18"/>
                <w:szCs w:val="18"/>
                <w:highlight w:val="none"/>
                <w:vertAlign w:val="baseline"/>
                <w:lang w:val="en-US" w:eastAsia="zh-CN" w:bidi="ar-SA"/>
              </w:rPr>
              <w:drawing>
                <wp:anchor distT="0" distB="0" distL="114300" distR="114300" simplePos="0" relativeHeight="251737088" behindDoc="1" locked="0" layoutInCell="1" allowOverlap="1">
                  <wp:simplePos x="0" y="0"/>
                  <wp:positionH relativeFrom="column">
                    <wp:posOffset>-22225</wp:posOffset>
                  </wp:positionH>
                  <wp:positionV relativeFrom="paragraph">
                    <wp:posOffset>254000</wp:posOffset>
                  </wp:positionV>
                  <wp:extent cx="1437640" cy="853440"/>
                  <wp:effectExtent l="0" t="0" r="10160" b="3810"/>
                  <wp:wrapTight wrapText="bothSides">
                    <wp:wrapPolygon>
                      <wp:start x="0" y="0"/>
                      <wp:lineTo x="0" y="21214"/>
                      <wp:lineTo x="21180" y="21214"/>
                      <wp:lineTo x="21180" y="0"/>
                      <wp:lineTo x="0" y="0"/>
                    </wp:wrapPolygon>
                  </wp:wrapTight>
                  <wp:docPr id="101" name="图片 101" descr="0e4a8652567feae527dc027797c3b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0e4a8652567feae527dc027797c3b847"/>
                          <pic:cNvPicPr>
                            <a:picLocks noChangeAspect="1"/>
                          </pic:cNvPicPr>
                        </pic:nvPicPr>
                        <pic:blipFill>
                          <a:blip r:embed="rId21"/>
                          <a:stretch>
                            <a:fillRect/>
                          </a:stretch>
                        </pic:blipFill>
                        <pic:spPr>
                          <a:xfrm>
                            <a:off x="0" y="0"/>
                            <a:ext cx="1437640" cy="853440"/>
                          </a:xfrm>
                          <a:prstGeom prst="rect">
                            <a:avLst/>
                          </a:prstGeom>
                        </pic:spPr>
                      </pic:pic>
                    </a:graphicData>
                  </a:graphic>
                </wp:anchor>
              </w:drawing>
            </w:r>
            <w:r>
              <w:rPr>
                <w:rFonts w:hint="eastAsia"/>
                <w:sz w:val="18"/>
                <w:szCs w:val="18"/>
                <w:highlight w:val="none"/>
                <w:vertAlign w:val="baseline"/>
                <w:lang w:val="en-US" w:eastAsia="zh-CN"/>
              </w:rPr>
              <w:t>室外纱幕</w:t>
            </w:r>
          </w:p>
        </w:tc>
        <w:tc>
          <w:tcPr>
            <w:tcW w:w="268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left"/>
              <w:textAlignment w:val="auto"/>
              <w:rPr>
                <w:rFonts w:hint="eastAsia" w:ascii="方正仿宋_GB2312" w:hAnsi="方正仿宋_GB2312" w:eastAsia="方正仿宋_GB2312" w:cs="方正仿宋_GB2312"/>
                <w:kern w:val="2"/>
                <w:sz w:val="18"/>
                <w:szCs w:val="18"/>
                <w:highlight w:val="none"/>
                <w:vertAlign w:val="baseline"/>
                <w:lang w:val="en-US" w:eastAsia="zh-CN" w:bidi="ar-SA"/>
              </w:rPr>
            </w:pPr>
            <w:r>
              <w:rPr>
                <w:rFonts w:hint="eastAsia" w:ascii="方正仿宋_GB2312" w:hAnsi="方正仿宋_GB2312" w:eastAsia="方正仿宋_GB2312" w:cs="方正仿宋_GB2312"/>
                <w:kern w:val="2"/>
                <w:sz w:val="18"/>
                <w:szCs w:val="18"/>
                <w:highlight w:val="none"/>
                <w:vertAlign w:val="baseline"/>
                <w:lang w:val="en-US" w:eastAsia="zh-CN" w:bidi="ar-SA"/>
              </w:rPr>
              <w:t>《来到世界的第一年》以孩子的视角展开叙事。孩子眼中的世界没有边界，他们相信风会歌唱、光能呼吸、树木会低语，连尘埃也闪烁着生命的光。作品试图还原这种最纯粹的感知状态，用柔和的色彩与流动的节奏去描绘自然的脉动与生命的节律。光与影在画面中不断交织、呼吸、伸展，如同心跳的频率，带领观者进入一个既真实又梦幻的时空。每一束光都像是一种情感的触须，轻轻连接起观者与世界的温度。我们希望观众在这段光影旅程中，能暂时放下成人世界的理性，重新感受那份久违的惊奇与温柔，找回与自然、与生命、与爱之间最原初的共鸣。</w:t>
            </w:r>
          </w:p>
        </w:tc>
        <w:tc>
          <w:tcPr>
            <w:tcW w:w="48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赵瑜佳</w:t>
            </w:r>
          </w:p>
        </w:tc>
        <w:tc>
          <w:tcPr>
            <w:tcW w:w="475"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imes New Roman" w:asciiTheme="minorHAnsi" w:hAnsiTheme="minorHAnsi" w:eastAsiaTheme="minorEastAsia"/>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16000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cstheme="minorBidi"/>
                <w:kern w:val="2"/>
                <w:sz w:val="18"/>
                <w:szCs w:val="18"/>
                <w:highlight w:val="none"/>
                <w:vertAlign w:val="baseline"/>
                <w:lang w:val="en-US" w:eastAsia="zh-CN" w:bidi="ar-SA"/>
              </w:rPr>
            </w:pPr>
          </w:p>
        </w:tc>
        <w:tc>
          <w:tcPr>
            <w:tcW w:w="4098" w:type="pct"/>
            <w:gridSpan w:val="3"/>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共计：</w:t>
            </w:r>
          </w:p>
        </w:tc>
        <w:tc>
          <w:tcPr>
            <w:tcW w:w="475"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cs="Times New Roman"/>
                <w:kern w:val="2"/>
                <w:sz w:val="18"/>
                <w:szCs w:val="18"/>
                <w:highlight w:val="none"/>
                <w:vertAlign w:val="baseline"/>
                <w:lang w:val="en-US" w:eastAsia="zh-CN" w:bidi="ar-SA"/>
              </w:rPr>
            </w:pPr>
            <w:r>
              <w:rPr>
                <w:rFonts w:hint="eastAsia" w:cs="Times New Roman"/>
                <w:kern w:val="2"/>
                <w:sz w:val="18"/>
                <w:szCs w:val="18"/>
                <w:highlight w:val="none"/>
                <w:vertAlign w:val="baseline"/>
                <w:lang w:val="en-US" w:eastAsia="zh-CN" w:bidi="ar-SA"/>
              </w:rPr>
              <w:t>400000</w:t>
            </w:r>
          </w:p>
        </w:tc>
        <w:tc>
          <w:tcPr>
            <w:tcW w:w="224" w:type="pct"/>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000" w:type="pct"/>
            <w:gridSpan w:val="6"/>
            <w:shd w:val="clear" w:color="auto" w:fill="auto"/>
            <w:vAlign w:val="top"/>
          </w:tcPr>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b w:val="0"/>
                <w:bCs w:val="0"/>
                <w:color w:val="000000"/>
                <w:kern w:val="2"/>
                <w:sz w:val="21"/>
                <w:szCs w:val="21"/>
                <w:lang w:val="en-US" w:eastAsia="zh-CN" w:bidi="ar-SA"/>
              </w:rPr>
            </w:pPr>
          </w:p>
          <w:p>
            <w:pPr>
              <w:keepNext w:val="0"/>
              <w:keepLines w:val="0"/>
              <w:pageBreakBefore w:val="0"/>
              <w:kinsoku/>
              <w:wordWrap/>
              <w:overflowPunct/>
              <w:topLinePunct w:val="0"/>
              <w:autoSpaceDE/>
              <w:autoSpaceDN/>
              <w:bidi w:val="0"/>
              <w:adjustRightInd/>
              <w:snapToGrid/>
              <w:spacing w:line="240" w:lineRule="exact"/>
              <w:ind w:firstLine="0" w:firstLineChars="0"/>
              <w:textAlignment w:val="auto"/>
              <w:rPr>
                <w:rFonts w:asciiTheme="minorHAnsi" w:hAnsiTheme="minorHAnsi" w:eastAsiaTheme="minorEastAsia" w:cstheme="minorBidi"/>
                <w:kern w:val="2"/>
                <w:sz w:val="18"/>
                <w:szCs w:val="18"/>
                <w:highlight w:val="none"/>
                <w:vertAlign w:val="baseline"/>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光影作品内容邀约补偿按照固定综合单价包干据实结算</w:t>
            </w:r>
          </w:p>
        </w:tc>
      </w:tr>
    </w:tbl>
    <w:p>
      <w:pPr>
        <w:spacing w:after="260"/>
        <w:jc w:val="center"/>
        <w:outlineLvl w:val="2"/>
        <w:rPr>
          <w:rFonts w:ascii="宋体" w:hAnsi="宋体"/>
          <w:snapToGrid w:val="0"/>
          <w:color w:val="auto"/>
          <w:kern w:val="0"/>
          <w:szCs w:val="21"/>
          <w:highlight w:val="none"/>
        </w:rPr>
      </w:pPr>
      <w:r>
        <w:rPr>
          <w:rFonts w:hint="eastAsia" w:ascii="宋体" w:hAnsi="宋体"/>
          <w:b/>
          <w:bCs/>
          <w:snapToGrid w:val="0"/>
          <w:color w:val="auto"/>
          <w:sz w:val="32"/>
          <w:szCs w:val="40"/>
          <w:highlight w:val="none"/>
        </w:rPr>
        <w:t>2.</w:t>
      </w:r>
      <w:r>
        <w:rPr>
          <w:rFonts w:ascii="宋体" w:hAnsi="宋体"/>
          <w:b/>
          <w:bCs/>
          <w:color w:val="auto"/>
          <w:sz w:val="32"/>
          <w:szCs w:val="40"/>
          <w:highlight w:val="none"/>
        </w:rPr>
        <w:t>法定代表人身份证明及授权委托书</w:t>
      </w:r>
      <w:bookmarkEnd w:id="75"/>
      <w:bookmarkEnd w:id="76"/>
    </w:p>
    <w:p>
      <w:pPr>
        <w:spacing w:line="480" w:lineRule="auto"/>
        <w:jc w:val="center"/>
        <w:rPr>
          <w:rFonts w:hint="eastAsia" w:ascii="宋体" w:hAnsi="宋体"/>
          <w:color w:val="auto"/>
          <w:sz w:val="28"/>
          <w:highlight w:val="none"/>
        </w:rPr>
      </w:pPr>
      <w:r>
        <w:rPr>
          <w:rFonts w:hint="eastAsia" w:ascii="宋体" w:hAnsi="宋体"/>
          <w:color w:val="auto"/>
          <w:sz w:val="28"/>
          <w:highlight w:val="none"/>
        </w:rPr>
        <w:t>法定代表人身份证明</w:t>
      </w:r>
    </w:p>
    <w:p>
      <w:pPr>
        <w:spacing w:line="480" w:lineRule="auto"/>
        <w:jc w:val="center"/>
        <w:rPr>
          <w:rFonts w:ascii="宋体" w:hAnsi="宋体"/>
          <w:color w:val="auto"/>
          <w:highlight w:val="none"/>
        </w:rPr>
      </w:pPr>
    </w:p>
    <w:p>
      <w:pPr>
        <w:tabs>
          <w:tab w:val="left" w:pos="5565"/>
        </w:tabs>
        <w:autoSpaceDE w:val="0"/>
        <w:autoSpaceDN w:val="0"/>
        <w:adjustRightInd w:val="0"/>
        <w:snapToGrid w:val="0"/>
        <w:spacing w:line="480" w:lineRule="auto"/>
        <w:ind w:firstLine="390" w:firstLineChars="186"/>
        <w:jc w:val="left"/>
        <w:rPr>
          <w:rFonts w:ascii="宋体" w:hAnsi="宋体"/>
          <w:color w:val="auto"/>
          <w:kern w:val="0"/>
          <w:szCs w:val="21"/>
          <w:highlight w:val="none"/>
        </w:rPr>
      </w:pPr>
      <w:r>
        <w:rPr>
          <w:rFonts w:hint="eastAsia" w:ascii="宋体" w:hAnsi="宋体"/>
          <w:color w:val="auto"/>
          <w:kern w:val="0"/>
          <w:szCs w:val="21"/>
          <w:highlight w:val="none"/>
          <w:lang w:eastAsia="zh-CN"/>
        </w:rPr>
        <w:t>参选</w:t>
      </w:r>
      <w:r>
        <w:rPr>
          <w:rFonts w:hint="eastAsia" w:ascii="宋体" w:hAnsi="宋体"/>
          <w:color w:val="auto"/>
          <w:kern w:val="0"/>
          <w:szCs w:val="21"/>
          <w:highlight w:val="none"/>
        </w:rPr>
        <w:t>人</w:t>
      </w:r>
      <w:r>
        <w:rPr>
          <w:rFonts w:ascii="宋体" w:hAnsi="宋体"/>
          <w:color w:val="auto"/>
          <w:kern w:val="0"/>
          <w:szCs w:val="21"/>
          <w:highlight w:val="none"/>
        </w:rPr>
        <w:t>名称：</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p>
    <w:p>
      <w:pPr>
        <w:tabs>
          <w:tab w:val="left" w:pos="5475"/>
        </w:tabs>
        <w:autoSpaceDE w:val="0"/>
        <w:autoSpaceDN w:val="0"/>
        <w:adjustRightInd w:val="0"/>
        <w:snapToGrid w:val="0"/>
        <w:spacing w:line="480" w:lineRule="auto"/>
        <w:ind w:firstLine="390" w:firstLineChars="186"/>
        <w:jc w:val="left"/>
        <w:rPr>
          <w:rFonts w:ascii="宋体" w:hAnsi="宋体"/>
          <w:color w:val="auto"/>
          <w:kern w:val="0"/>
          <w:szCs w:val="21"/>
          <w:highlight w:val="none"/>
        </w:rPr>
      </w:pPr>
      <w:r>
        <w:rPr>
          <w:rFonts w:ascii="宋体" w:hAnsi="宋体"/>
          <w:color w:val="auto"/>
          <w:kern w:val="0"/>
          <w:szCs w:val="21"/>
          <w:highlight w:val="none"/>
        </w:rPr>
        <w:t>单位性质：</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p>
    <w:p>
      <w:pPr>
        <w:tabs>
          <w:tab w:val="left" w:pos="5475"/>
        </w:tabs>
        <w:autoSpaceDE w:val="0"/>
        <w:autoSpaceDN w:val="0"/>
        <w:adjustRightInd w:val="0"/>
        <w:snapToGrid w:val="0"/>
        <w:spacing w:line="480" w:lineRule="auto"/>
        <w:ind w:firstLine="390" w:firstLineChars="186"/>
        <w:jc w:val="left"/>
        <w:rPr>
          <w:rFonts w:ascii="宋体" w:hAnsi="宋体"/>
          <w:color w:val="auto"/>
          <w:kern w:val="0"/>
          <w:szCs w:val="21"/>
          <w:highlight w:val="none"/>
        </w:rPr>
      </w:pPr>
      <w:r>
        <w:rPr>
          <w:rFonts w:ascii="宋体" w:hAnsi="宋体"/>
          <w:color w:val="auto"/>
          <w:kern w:val="0"/>
          <w:szCs w:val="21"/>
          <w:highlight w:val="none"/>
        </w:rPr>
        <w:t>地</w:t>
      </w:r>
      <w:r>
        <w:rPr>
          <w:rFonts w:hint="eastAsia" w:ascii="宋体" w:hAnsi="宋体"/>
          <w:color w:val="auto"/>
          <w:kern w:val="0"/>
          <w:szCs w:val="21"/>
          <w:highlight w:val="none"/>
        </w:rPr>
        <w:t xml:space="preserve">    </w:t>
      </w:r>
      <w:r>
        <w:rPr>
          <w:rFonts w:ascii="宋体" w:hAnsi="宋体"/>
          <w:color w:val="auto"/>
          <w:kern w:val="0"/>
          <w:szCs w:val="21"/>
          <w:highlight w:val="none"/>
        </w:rPr>
        <w:t>址：</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p>
    <w:p>
      <w:pPr>
        <w:tabs>
          <w:tab w:val="left" w:pos="2520"/>
          <w:tab w:val="left" w:pos="3836"/>
        </w:tabs>
        <w:autoSpaceDE w:val="0"/>
        <w:autoSpaceDN w:val="0"/>
        <w:adjustRightInd w:val="0"/>
        <w:snapToGrid w:val="0"/>
        <w:spacing w:line="480" w:lineRule="auto"/>
        <w:ind w:firstLine="390" w:firstLineChars="186"/>
        <w:jc w:val="left"/>
        <w:rPr>
          <w:rFonts w:ascii="宋体" w:hAnsi="宋体"/>
          <w:color w:val="auto"/>
          <w:kern w:val="0"/>
          <w:sz w:val="10"/>
          <w:szCs w:val="10"/>
          <w:highlight w:val="none"/>
        </w:rPr>
      </w:pPr>
      <w:r>
        <w:rPr>
          <w:rFonts w:ascii="宋体" w:hAnsi="宋体"/>
          <w:color w:val="auto"/>
          <w:kern w:val="0"/>
          <w:szCs w:val="21"/>
          <w:highlight w:val="none"/>
        </w:rPr>
        <w:t>成立时间：</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kern w:val="0"/>
          <w:szCs w:val="21"/>
          <w:highlight w:val="none"/>
        </w:rPr>
        <w:t>年</w:t>
      </w:r>
      <w:r>
        <w:rPr>
          <w:rFonts w:ascii="宋体" w:hAnsi="宋体"/>
          <w:color w:val="auto"/>
          <w:w w:val="200"/>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月</w:t>
      </w:r>
      <w:r>
        <w:rPr>
          <w:rFonts w:ascii="宋体" w:hAnsi="宋体"/>
          <w:color w:val="auto"/>
          <w:w w:val="200"/>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日</w:t>
      </w:r>
    </w:p>
    <w:p>
      <w:pPr>
        <w:tabs>
          <w:tab w:val="left" w:pos="5475"/>
        </w:tabs>
        <w:autoSpaceDE w:val="0"/>
        <w:autoSpaceDN w:val="0"/>
        <w:adjustRightInd w:val="0"/>
        <w:snapToGrid w:val="0"/>
        <w:spacing w:line="480" w:lineRule="auto"/>
        <w:ind w:firstLine="390" w:firstLineChars="186"/>
        <w:jc w:val="left"/>
        <w:rPr>
          <w:rFonts w:ascii="宋体" w:hAnsi="宋体"/>
          <w:color w:val="auto"/>
          <w:kern w:val="0"/>
          <w:szCs w:val="21"/>
          <w:highlight w:val="none"/>
        </w:rPr>
      </w:pPr>
      <w:r>
        <w:rPr>
          <w:rFonts w:ascii="宋体" w:hAnsi="宋体"/>
          <w:color w:val="auto"/>
          <w:kern w:val="0"/>
          <w:szCs w:val="21"/>
          <w:highlight w:val="none"/>
        </w:rPr>
        <w:t>经营期限：</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p>
    <w:p>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ascii="宋体" w:hAnsi="宋体"/>
          <w:color w:val="auto"/>
          <w:kern w:val="0"/>
          <w:szCs w:val="21"/>
          <w:highlight w:val="none"/>
        </w:rPr>
      </w:pPr>
      <w:r>
        <w:rPr>
          <w:rFonts w:ascii="宋体" w:hAnsi="宋体"/>
          <w:color w:val="auto"/>
          <w:kern w:val="0"/>
          <w:szCs w:val="21"/>
          <w:highlight w:val="none"/>
        </w:rPr>
        <w:t>姓名：</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kern w:val="0"/>
          <w:szCs w:val="21"/>
          <w:highlight w:val="none"/>
        </w:rPr>
        <w:t>性别</w:t>
      </w:r>
      <w:r>
        <w:rPr>
          <w:rFonts w:ascii="宋体" w:hAnsi="宋体"/>
          <w:color w:val="auto"/>
          <w:spacing w:val="-1"/>
          <w:kern w:val="0"/>
          <w:szCs w:val="21"/>
          <w:highlight w:val="none"/>
        </w:rPr>
        <w:t>：</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spacing w:val="-1"/>
          <w:kern w:val="0"/>
          <w:szCs w:val="21"/>
          <w:highlight w:val="none"/>
        </w:rPr>
        <w:t>年</w:t>
      </w:r>
      <w:r>
        <w:rPr>
          <w:rFonts w:ascii="宋体" w:hAnsi="宋体"/>
          <w:color w:val="auto"/>
          <w:kern w:val="0"/>
          <w:szCs w:val="21"/>
          <w:highlight w:val="none"/>
        </w:rPr>
        <w:t>龄：</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职务：</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p>
    <w:p>
      <w:pPr>
        <w:tabs>
          <w:tab w:val="left" w:pos="3360"/>
        </w:tabs>
        <w:autoSpaceDE w:val="0"/>
        <w:autoSpaceDN w:val="0"/>
        <w:adjustRightInd w:val="0"/>
        <w:snapToGrid w:val="0"/>
        <w:spacing w:line="480" w:lineRule="auto"/>
        <w:ind w:firstLine="390" w:firstLineChars="186"/>
        <w:jc w:val="left"/>
        <w:rPr>
          <w:rFonts w:ascii="宋体" w:hAnsi="宋体"/>
          <w:color w:val="auto"/>
          <w:kern w:val="0"/>
          <w:szCs w:val="21"/>
          <w:highlight w:val="none"/>
        </w:rPr>
      </w:pPr>
      <w:r>
        <w:rPr>
          <w:rFonts w:ascii="宋体" w:hAnsi="宋体"/>
          <w:color w:val="auto"/>
          <w:kern w:val="0"/>
          <w:szCs w:val="21"/>
          <w:highlight w:val="none"/>
        </w:rPr>
        <w:t>系</w:t>
      </w:r>
      <w:r>
        <w:rPr>
          <w:rFonts w:hint="eastAsia" w:ascii="宋体" w:hAnsi="宋体"/>
          <w:color w:val="auto"/>
          <w:kern w:val="0"/>
          <w:szCs w:val="21"/>
          <w:highlight w:val="none"/>
          <w:u w:val="single"/>
        </w:rPr>
        <w:t xml:space="preserve">                             </w:t>
      </w:r>
      <w:r>
        <w:rPr>
          <w:rFonts w:ascii="宋体" w:hAnsi="宋体"/>
          <w:color w:val="auto"/>
          <w:kern w:val="0"/>
          <w:szCs w:val="21"/>
          <w:highlight w:val="none"/>
        </w:rPr>
        <w:t>（</w:t>
      </w:r>
      <w:r>
        <w:rPr>
          <w:rFonts w:hint="eastAsia" w:ascii="宋体" w:hAnsi="宋体"/>
          <w:color w:val="auto"/>
          <w:kern w:val="0"/>
          <w:szCs w:val="21"/>
          <w:highlight w:val="none"/>
          <w:lang w:eastAsia="zh-CN"/>
        </w:rPr>
        <w:t>参选</w:t>
      </w:r>
      <w:r>
        <w:rPr>
          <w:rFonts w:hint="eastAsia" w:ascii="宋体" w:hAnsi="宋体"/>
          <w:color w:val="auto"/>
          <w:kern w:val="0"/>
          <w:szCs w:val="21"/>
          <w:highlight w:val="none"/>
        </w:rPr>
        <w:t>人</w:t>
      </w:r>
      <w:r>
        <w:rPr>
          <w:rFonts w:ascii="宋体" w:hAnsi="宋体"/>
          <w:color w:val="auto"/>
          <w:kern w:val="0"/>
          <w:szCs w:val="21"/>
          <w:highlight w:val="none"/>
        </w:rPr>
        <w:t>名称）的法定代表人。</w:t>
      </w:r>
    </w:p>
    <w:p>
      <w:pPr>
        <w:autoSpaceDE w:val="0"/>
        <w:autoSpaceDN w:val="0"/>
        <w:adjustRightInd w:val="0"/>
        <w:snapToGrid w:val="0"/>
        <w:spacing w:line="480" w:lineRule="auto"/>
        <w:ind w:firstLine="186" w:firstLineChars="186"/>
        <w:jc w:val="left"/>
        <w:rPr>
          <w:rFonts w:ascii="宋体" w:hAnsi="宋体"/>
          <w:color w:val="auto"/>
          <w:kern w:val="0"/>
          <w:sz w:val="10"/>
          <w:szCs w:val="10"/>
          <w:highlight w:val="none"/>
        </w:rPr>
      </w:pPr>
    </w:p>
    <w:p>
      <w:pPr>
        <w:autoSpaceDE w:val="0"/>
        <w:autoSpaceDN w:val="0"/>
        <w:adjustRightInd w:val="0"/>
        <w:snapToGrid w:val="0"/>
        <w:spacing w:line="480" w:lineRule="auto"/>
        <w:ind w:firstLine="810" w:firstLineChars="386"/>
        <w:jc w:val="left"/>
        <w:rPr>
          <w:rFonts w:hint="eastAsia" w:ascii="宋体" w:hAnsi="宋体"/>
          <w:color w:val="auto"/>
          <w:kern w:val="0"/>
          <w:szCs w:val="21"/>
          <w:highlight w:val="none"/>
        </w:rPr>
      </w:pPr>
      <w:r>
        <w:rPr>
          <w:rFonts w:ascii="宋体" w:hAnsi="宋体"/>
          <w:color w:val="auto"/>
          <w:kern w:val="0"/>
          <w:szCs w:val="21"/>
          <w:highlight w:val="none"/>
        </w:rPr>
        <w:t>特此证明。</w:t>
      </w:r>
    </w:p>
    <w:tbl>
      <w:tblPr>
        <w:tblStyle w:val="54"/>
        <w:tblpPr w:leftFromText="180" w:rightFromText="180" w:vertAnchor="text" w:horzAnchor="margin" w:tblpXSpec="center" w:tblpY="81"/>
        <w:tblW w:w="0" w:type="auto"/>
        <w:jc w:val="center"/>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5243"/>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1867" w:hRule="atLeast"/>
          <w:jc w:val="center"/>
        </w:trPr>
        <w:tc>
          <w:tcPr>
            <w:tcW w:w="5243" w:type="dxa"/>
            <w:noWrap w:val="0"/>
            <w:vAlign w:val="top"/>
          </w:tcPr>
          <w:p>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法定代表人身份证复印件双面</w:t>
            </w:r>
          </w:p>
          <w:p>
            <w:pPr>
              <w:spacing w:line="360" w:lineRule="auto"/>
              <w:jc w:val="center"/>
              <w:rPr>
                <w:rFonts w:hint="eastAsia" w:ascii="宋体" w:hAnsi="宋体" w:cs="宋体"/>
                <w:b/>
                <w:color w:val="auto"/>
                <w:szCs w:val="21"/>
                <w:highlight w:val="none"/>
              </w:rPr>
            </w:pPr>
          </w:p>
        </w:tc>
      </w:tr>
    </w:tbl>
    <w:p>
      <w:pPr>
        <w:autoSpaceDE w:val="0"/>
        <w:autoSpaceDN w:val="0"/>
        <w:adjustRightInd w:val="0"/>
        <w:snapToGrid w:val="0"/>
        <w:spacing w:line="480" w:lineRule="auto"/>
        <w:ind w:firstLine="810" w:firstLineChars="386"/>
        <w:jc w:val="center"/>
        <w:rPr>
          <w:rFonts w:hint="eastAsia" w:ascii="宋体" w:hAnsi="宋体"/>
          <w:color w:val="auto"/>
          <w:kern w:val="0"/>
          <w:szCs w:val="21"/>
          <w:highlight w:val="none"/>
        </w:rPr>
      </w:pPr>
    </w:p>
    <w:p>
      <w:pPr>
        <w:autoSpaceDE w:val="0"/>
        <w:autoSpaceDN w:val="0"/>
        <w:adjustRightInd w:val="0"/>
        <w:snapToGrid w:val="0"/>
        <w:spacing w:line="480" w:lineRule="auto"/>
        <w:ind w:firstLine="810" w:firstLineChars="386"/>
        <w:jc w:val="left"/>
        <w:rPr>
          <w:rFonts w:hint="eastAsia" w:ascii="宋体" w:hAnsi="宋体"/>
          <w:color w:val="auto"/>
          <w:kern w:val="0"/>
          <w:szCs w:val="21"/>
          <w:highlight w:val="none"/>
        </w:rPr>
      </w:pPr>
    </w:p>
    <w:p>
      <w:pPr>
        <w:autoSpaceDE w:val="0"/>
        <w:autoSpaceDN w:val="0"/>
        <w:adjustRightInd w:val="0"/>
        <w:snapToGrid w:val="0"/>
        <w:spacing w:line="480" w:lineRule="auto"/>
        <w:ind w:firstLine="772" w:firstLineChars="386"/>
        <w:jc w:val="left"/>
        <w:rPr>
          <w:rFonts w:hint="eastAsia" w:ascii="宋体" w:hAnsi="宋体"/>
          <w:color w:val="auto"/>
          <w:kern w:val="0"/>
          <w:sz w:val="20"/>
          <w:szCs w:val="20"/>
          <w:highlight w:val="none"/>
        </w:rPr>
      </w:pPr>
    </w:p>
    <w:p>
      <w:pPr>
        <w:autoSpaceDE w:val="0"/>
        <w:autoSpaceDN w:val="0"/>
        <w:adjustRightInd w:val="0"/>
        <w:snapToGrid w:val="0"/>
        <w:spacing w:line="480" w:lineRule="auto"/>
        <w:jc w:val="left"/>
        <w:rPr>
          <w:rFonts w:ascii="宋体" w:hAnsi="宋体"/>
          <w:color w:val="auto"/>
          <w:kern w:val="0"/>
          <w:sz w:val="20"/>
          <w:szCs w:val="20"/>
          <w:highlight w:val="none"/>
        </w:rPr>
      </w:pPr>
    </w:p>
    <w:p>
      <w:pPr>
        <w:tabs>
          <w:tab w:val="left" w:pos="5460"/>
        </w:tabs>
        <w:autoSpaceDE w:val="0"/>
        <w:autoSpaceDN w:val="0"/>
        <w:adjustRightInd w:val="0"/>
        <w:snapToGrid w:val="0"/>
        <w:spacing w:line="480" w:lineRule="auto"/>
        <w:ind w:firstLine="2100"/>
        <w:jc w:val="right"/>
        <w:rPr>
          <w:rFonts w:hint="eastAsia" w:ascii="宋体" w:hAnsi="宋体"/>
          <w:color w:val="auto"/>
          <w:kern w:val="0"/>
          <w:szCs w:val="21"/>
          <w:highlight w:val="none"/>
        </w:rPr>
      </w:pPr>
    </w:p>
    <w:p>
      <w:pPr>
        <w:tabs>
          <w:tab w:val="left" w:pos="5460"/>
        </w:tabs>
        <w:autoSpaceDE w:val="0"/>
        <w:autoSpaceDN w:val="0"/>
        <w:adjustRightInd w:val="0"/>
        <w:snapToGrid w:val="0"/>
        <w:spacing w:line="480" w:lineRule="auto"/>
        <w:ind w:firstLine="2100"/>
        <w:jc w:val="right"/>
        <w:rPr>
          <w:rFonts w:ascii="宋体" w:hAnsi="宋体"/>
          <w:color w:val="auto"/>
          <w:kern w:val="0"/>
          <w:szCs w:val="21"/>
          <w:highlight w:val="none"/>
        </w:rPr>
      </w:pPr>
      <w:r>
        <w:rPr>
          <w:rFonts w:hint="eastAsia" w:ascii="宋体" w:hAnsi="宋体"/>
          <w:color w:val="auto"/>
          <w:kern w:val="0"/>
          <w:szCs w:val="21"/>
          <w:highlight w:val="none"/>
          <w:lang w:eastAsia="zh-CN"/>
        </w:rPr>
        <w:t>参选</w:t>
      </w:r>
      <w:r>
        <w:rPr>
          <w:rFonts w:hint="eastAsia" w:ascii="宋体" w:hAnsi="宋体"/>
          <w:color w:val="auto"/>
          <w:kern w:val="0"/>
          <w:szCs w:val="21"/>
          <w:highlight w:val="none"/>
        </w:rPr>
        <w:t>人</w:t>
      </w:r>
      <w:r>
        <w:rPr>
          <w:rFonts w:ascii="宋体" w:hAnsi="宋体"/>
          <w:color w:val="auto"/>
          <w:kern w:val="0"/>
          <w:szCs w:val="21"/>
          <w:highlight w:val="none"/>
        </w:rPr>
        <w:t>：</w:t>
      </w:r>
      <w:r>
        <w:rPr>
          <w:rFonts w:ascii="宋体" w:hAnsi="宋体"/>
          <w:color w:val="auto"/>
          <w:w w:val="200"/>
          <w:kern w:val="0"/>
          <w:szCs w:val="21"/>
          <w:highlight w:val="none"/>
          <w:u w:val="single"/>
        </w:rPr>
        <w:t xml:space="preserve">              </w:t>
      </w:r>
      <w:r>
        <w:rPr>
          <w:rFonts w:ascii="宋体" w:hAnsi="宋体"/>
          <w:color w:val="auto"/>
          <w:kern w:val="0"/>
          <w:szCs w:val="21"/>
          <w:highlight w:val="none"/>
          <w:u w:val="single"/>
        </w:rPr>
        <w:tab/>
      </w:r>
      <w:r>
        <w:rPr>
          <w:rFonts w:ascii="宋体" w:hAnsi="宋体"/>
          <w:color w:val="auto"/>
          <w:spacing w:val="-1"/>
          <w:kern w:val="0"/>
          <w:szCs w:val="21"/>
          <w:highlight w:val="none"/>
        </w:rPr>
        <w:t>（</w:t>
      </w:r>
      <w:r>
        <w:rPr>
          <w:rFonts w:ascii="宋体" w:hAnsi="宋体"/>
          <w:color w:val="auto"/>
          <w:kern w:val="0"/>
          <w:szCs w:val="21"/>
          <w:highlight w:val="none"/>
        </w:rPr>
        <w:t>盖单位</w:t>
      </w:r>
      <w:r>
        <w:rPr>
          <w:rFonts w:hint="eastAsia" w:ascii="宋体" w:hAnsi="宋体"/>
          <w:color w:val="auto"/>
          <w:kern w:val="0"/>
          <w:szCs w:val="21"/>
          <w:highlight w:val="none"/>
        </w:rPr>
        <w:t>公</w:t>
      </w:r>
      <w:r>
        <w:rPr>
          <w:rFonts w:ascii="宋体" w:hAnsi="宋体"/>
          <w:color w:val="auto"/>
          <w:kern w:val="0"/>
          <w:szCs w:val="21"/>
          <w:highlight w:val="none"/>
        </w:rPr>
        <w:t>章）</w:t>
      </w:r>
    </w:p>
    <w:p>
      <w:pPr>
        <w:autoSpaceDE w:val="0"/>
        <w:autoSpaceDN w:val="0"/>
        <w:adjustRightInd w:val="0"/>
        <w:snapToGrid w:val="0"/>
        <w:spacing w:line="480" w:lineRule="auto"/>
        <w:jc w:val="left"/>
        <w:rPr>
          <w:rFonts w:ascii="宋体" w:hAnsi="宋体"/>
          <w:color w:val="auto"/>
          <w:kern w:val="0"/>
          <w:sz w:val="20"/>
          <w:szCs w:val="20"/>
          <w:highlight w:val="none"/>
        </w:rPr>
      </w:pPr>
    </w:p>
    <w:p>
      <w:pPr>
        <w:tabs>
          <w:tab w:val="left" w:pos="4935"/>
          <w:tab w:val="left" w:pos="5460"/>
          <w:tab w:val="left" w:pos="6400"/>
        </w:tabs>
        <w:wordWrap w:val="0"/>
        <w:autoSpaceDE w:val="0"/>
        <w:autoSpaceDN w:val="0"/>
        <w:adjustRightInd w:val="0"/>
        <w:snapToGrid w:val="0"/>
        <w:spacing w:line="480" w:lineRule="auto"/>
        <w:ind w:firstLine="3780"/>
        <w:jc w:val="right"/>
        <w:rPr>
          <w:rFonts w:hint="eastAsia" w:ascii="宋体" w:hAnsi="宋体"/>
          <w:color w:val="auto"/>
          <w:kern w:val="0"/>
          <w:szCs w:val="21"/>
          <w:highlight w:val="none"/>
        </w:rPr>
      </w:pPr>
      <w:r>
        <w:rPr>
          <w:rFonts w:hint="eastAsia" w:ascii="宋体" w:hAnsi="宋体"/>
          <w:color w:val="auto"/>
          <w:w w:val="200"/>
          <w:kern w:val="0"/>
          <w:szCs w:val="21"/>
          <w:highlight w:val="none"/>
          <w:u w:val="single"/>
        </w:rPr>
        <w:t xml:space="preserve">      </w:t>
      </w:r>
      <w:r>
        <w:rPr>
          <w:rFonts w:ascii="宋体" w:hAnsi="宋体"/>
          <w:color w:val="auto"/>
          <w:kern w:val="0"/>
          <w:szCs w:val="21"/>
          <w:highlight w:val="none"/>
        </w:rPr>
        <w:t>年</w:t>
      </w:r>
      <w:r>
        <w:rPr>
          <w:rFonts w:ascii="宋体" w:hAnsi="宋体"/>
          <w:color w:val="auto"/>
          <w:w w:val="200"/>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月</w:t>
      </w:r>
      <w:r>
        <w:rPr>
          <w:rFonts w:ascii="宋体" w:hAnsi="宋体"/>
          <w:color w:val="auto"/>
          <w:w w:val="200"/>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日</w:t>
      </w:r>
      <w:r>
        <w:rPr>
          <w:rFonts w:hint="eastAsia" w:ascii="宋体" w:hAnsi="宋体"/>
          <w:color w:val="auto"/>
          <w:kern w:val="0"/>
          <w:szCs w:val="21"/>
          <w:highlight w:val="none"/>
        </w:rPr>
        <w:t xml:space="preserve">  </w:t>
      </w:r>
    </w:p>
    <w:p>
      <w:pPr>
        <w:autoSpaceDE w:val="0"/>
        <w:autoSpaceDN w:val="0"/>
        <w:adjustRightInd w:val="0"/>
        <w:snapToGrid w:val="0"/>
        <w:spacing w:line="360" w:lineRule="auto"/>
        <w:jc w:val="left"/>
        <w:rPr>
          <w:rFonts w:ascii="宋体" w:hAnsi="宋体"/>
          <w:color w:val="auto"/>
          <w:kern w:val="0"/>
          <w:highlight w:val="none"/>
        </w:rPr>
      </w:pPr>
    </w:p>
    <w:p>
      <w:pPr>
        <w:autoSpaceDE w:val="0"/>
        <w:autoSpaceDN w:val="0"/>
        <w:adjustRightInd w:val="0"/>
        <w:snapToGrid w:val="0"/>
        <w:spacing w:line="360" w:lineRule="auto"/>
        <w:jc w:val="left"/>
        <w:rPr>
          <w:rFonts w:ascii="宋体" w:hAnsi="宋体"/>
          <w:color w:val="auto"/>
          <w:kern w:val="0"/>
          <w:highlight w:val="none"/>
        </w:rPr>
      </w:pPr>
    </w:p>
    <w:p>
      <w:pPr>
        <w:spacing w:line="360" w:lineRule="auto"/>
        <w:ind w:firstLine="420" w:firstLineChars="200"/>
        <w:rPr>
          <w:rFonts w:ascii="宋体" w:hAnsi="宋体"/>
          <w:color w:val="auto"/>
          <w:highlight w:val="none"/>
        </w:rPr>
      </w:pPr>
      <w:r>
        <w:rPr>
          <w:rFonts w:ascii="宋体" w:hAnsi="宋体"/>
          <w:color w:val="auto"/>
          <w:highlight w:val="none"/>
        </w:rPr>
        <w:t>注：法定代表人身份证明需按上述格式填写完整，不可缺少内容。在此基础上增加内容的不影响其有效性。</w:t>
      </w:r>
    </w:p>
    <w:p>
      <w:pPr>
        <w:tabs>
          <w:tab w:val="left" w:pos="1680"/>
          <w:tab w:val="left" w:pos="4215"/>
          <w:tab w:val="left" w:pos="4305"/>
          <w:tab w:val="left" w:pos="8000"/>
        </w:tabs>
        <w:autoSpaceDE w:val="0"/>
        <w:autoSpaceDN w:val="0"/>
        <w:adjustRightInd w:val="0"/>
        <w:snapToGrid w:val="0"/>
        <w:spacing w:line="360" w:lineRule="auto"/>
        <w:jc w:val="center"/>
        <w:rPr>
          <w:rFonts w:ascii="宋体" w:hAnsi="宋体"/>
          <w:color w:val="auto"/>
          <w:kern w:val="0"/>
          <w:sz w:val="12"/>
          <w:szCs w:val="12"/>
          <w:highlight w:val="none"/>
        </w:rPr>
      </w:pPr>
      <w:r>
        <w:rPr>
          <w:rFonts w:ascii="宋体" w:hAnsi="宋体"/>
          <w:b/>
          <w:color w:val="auto"/>
          <w:kern w:val="0"/>
          <w:sz w:val="28"/>
          <w:szCs w:val="28"/>
          <w:highlight w:val="none"/>
        </w:rPr>
        <w:br w:type="page"/>
      </w:r>
      <w:r>
        <w:rPr>
          <w:rFonts w:ascii="宋体" w:hAnsi="宋体"/>
          <w:snapToGrid w:val="0"/>
          <w:color w:val="auto"/>
          <w:kern w:val="0"/>
          <w:sz w:val="32"/>
          <w:szCs w:val="32"/>
          <w:highlight w:val="none"/>
        </w:rPr>
        <w:t>授权委托书</w:t>
      </w:r>
    </w:p>
    <w:p>
      <w:pPr>
        <w:autoSpaceDE w:val="0"/>
        <w:autoSpaceDN w:val="0"/>
        <w:adjustRightInd w:val="0"/>
        <w:snapToGrid w:val="0"/>
        <w:spacing w:line="360" w:lineRule="auto"/>
        <w:jc w:val="left"/>
        <w:rPr>
          <w:rFonts w:ascii="宋体" w:hAnsi="宋体"/>
          <w:color w:val="auto"/>
          <w:kern w:val="0"/>
          <w:sz w:val="20"/>
          <w:szCs w:val="20"/>
          <w:highlight w:val="none"/>
        </w:rPr>
      </w:pPr>
    </w:p>
    <w:p>
      <w:pPr>
        <w:autoSpaceDE w:val="0"/>
        <w:autoSpaceDN w:val="0"/>
        <w:adjustRightInd w:val="0"/>
        <w:snapToGrid w:val="0"/>
        <w:spacing w:line="360" w:lineRule="auto"/>
        <w:jc w:val="left"/>
        <w:rPr>
          <w:rFonts w:ascii="宋体" w:hAnsi="宋体"/>
          <w:color w:val="auto"/>
          <w:kern w:val="0"/>
          <w:sz w:val="20"/>
          <w:szCs w:val="20"/>
          <w:highlight w:val="none"/>
        </w:rPr>
      </w:pPr>
    </w:p>
    <w:p>
      <w:pPr>
        <w:tabs>
          <w:tab w:val="left" w:pos="1680"/>
          <w:tab w:val="left" w:pos="4215"/>
          <w:tab w:val="left" w:pos="4305"/>
          <w:tab w:val="left" w:pos="8000"/>
        </w:tabs>
        <w:autoSpaceDE w:val="0"/>
        <w:autoSpaceDN w:val="0"/>
        <w:adjustRightInd w:val="0"/>
        <w:snapToGrid w:val="0"/>
        <w:spacing w:line="480" w:lineRule="auto"/>
        <w:ind w:firstLine="420"/>
        <w:rPr>
          <w:rFonts w:ascii="宋体" w:hAnsi="宋体"/>
          <w:color w:val="auto"/>
          <w:kern w:val="0"/>
          <w:szCs w:val="21"/>
          <w:highlight w:val="none"/>
        </w:rPr>
      </w:pPr>
      <w:r>
        <w:rPr>
          <w:rFonts w:ascii="宋体" w:hAnsi="宋体"/>
          <w:color w:val="auto"/>
          <w:kern w:val="0"/>
          <w:szCs w:val="21"/>
          <w:highlight w:val="none"/>
        </w:rPr>
        <w:t>本人</w:t>
      </w:r>
      <w:r>
        <w:rPr>
          <w:rFonts w:ascii="宋体" w:hAnsi="宋体"/>
          <w:color w:val="auto"/>
          <w:w w:val="200"/>
          <w:kern w:val="0"/>
          <w:szCs w:val="21"/>
          <w:highlight w:val="none"/>
          <w:u w:val="single"/>
        </w:rPr>
        <w:t xml:space="preserve">   </w:t>
      </w:r>
      <w:r>
        <w:rPr>
          <w:rFonts w:ascii="宋体" w:hAnsi="宋体"/>
          <w:color w:val="auto"/>
          <w:kern w:val="0"/>
          <w:szCs w:val="21"/>
          <w:highlight w:val="none"/>
        </w:rPr>
        <w:t>（姓名）系</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kern w:val="0"/>
          <w:szCs w:val="21"/>
          <w:highlight w:val="none"/>
        </w:rPr>
        <w:t>（</w:t>
      </w:r>
      <w:r>
        <w:rPr>
          <w:rFonts w:hint="eastAsia" w:ascii="宋体" w:hAnsi="宋体"/>
          <w:color w:val="auto"/>
          <w:kern w:val="0"/>
          <w:szCs w:val="21"/>
          <w:highlight w:val="none"/>
          <w:lang w:eastAsia="zh-CN"/>
        </w:rPr>
        <w:t>参选</w:t>
      </w:r>
      <w:r>
        <w:rPr>
          <w:rFonts w:hint="eastAsia" w:ascii="宋体" w:hAnsi="宋体"/>
          <w:color w:val="auto"/>
          <w:kern w:val="0"/>
          <w:szCs w:val="21"/>
          <w:highlight w:val="none"/>
        </w:rPr>
        <w:t>人</w:t>
      </w:r>
      <w:r>
        <w:rPr>
          <w:rFonts w:ascii="宋体" w:hAnsi="宋体"/>
          <w:color w:val="auto"/>
          <w:kern w:val="0"/>
          <w:szCs w:val="21"/>
          <w:highlight w:val="none"/>
        </w:rPr>
        <w:t>名称</w:t>
      </w:r>
      <w:r>
        <w:rPr>
          <w:rFonts w:ascii="宋体" w:hAnsi="宋体"/>
          <w:color w:val="auto"/>
          <w:spacing w:val="1"/>
          <w:kern w:val="0"/>
          <w:szCs w:val="21"/>
          <w:highlight w:val="none"/>
        </w:rPr>
        <w:t>）</w:t>
      </w:r>
      <w:r>
        <w:rPr>
          <w:rFonts w:ascii="宋体" w:hAnsi="宋体"/>
          <w:color w:val="auto"/>
          <w:kern w:val="0"/>
          <w:szCs w:val="21"/>
          <w:highlight w:val="none"/>
        </w:rPr>
        <w:t>的法定代</w:t>
      </w:r>
      <w:r>
        <w:rPr>
          <w:rFonts w:ascii="宋体" w:hAnsi="宋体"/>
          <w:color w:val="auto"/>
          <w:spacing w:val="1"/>
          <w:kern w:val="0"/>
          <w:szCs w:val="21"/>
          <w:highlight w:val="none"/>
        </w:rPr>
        <w:t>表</w:t>
      </w:r>
      <w:r>
        <w:rPr>
          <w:rFonts w:ascii="宋体" w:hAnsi="宋体"/>
          <w:color w:val="auto"/>
          <w:kern w:val="0"/>
          <w:szCs w:val="21"/>
          <w:highlight w:val="none"/>
        </w:rPr>
        <w:t>人，现委托</w:t>
      </w:r>
      <w:r>
        <w:rPr>
          <w:rFonts w:ascii="宋体" w:hAnsi="宋体"/>
          <w:color w:val="auto"/>
          <w:w w:val="200"/>
          <w:kern w:val="0"/>
          <w:szCs w:val="21"/>
          <w:highlight w:val="none"/>
          <w:u w:val="single"/>
        </w:rPr>
        <w:t xml:space="preserve">    </w:t>
      </w:r>
      <w:r>
        <w:rPr>
          <w:rFonts w:ascii="宋体" w:hAnsi="宋体"/>
          <w:color w:val="auto"/>
          <w:kern w:val="0"/>
          <w:szCs w:val="21"/>
          <w:highlight w:val="none"/>
        </w:rPr>
        <w:t>（姓名）为我方代理人。代理人根据授权，以我方名义签署、递交、撤回、修改</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ascii="宋体" w:hAnsi="宋体"/>
          <w:color w:val="auto"/>
          <w:kern w:val="0"/>
          <w:szCs w:val="21"/>
          <w:highlight w:val="none"/>
        </w:rPr>
        <w:t>（项</w:t>
      </w:r>
      <w:r>
        <w:rPr>
          <w:rFonts w:ascii="宋体" w:hAnsi="宋体"/>
          <w:color w:val="auto"/>
          <w:spacing w:val="-1"/>
          <w:kern w:val="0"/>
          <w:szCs w:val="21"/>
          <w:highlight w:val="none"/>
        </w:rPr>
        <w:t>目</w:t>
      </w:r>
      <w:r>
        <w:rPr>
          <w:rFonts w:ascii="宋体" w:hAnsi="宋体"/>
          <w:color w:val="auto"/>
          <w:kern w:val="0"/>
          <w:szCs w:val="21"/>
          <w:highlight w:val="none"/>
        </w:rPr>
        <w:t>名称）</w:t>
      </w:r>
      <w:r>
        <w:rPr>
          <w:rFonts w:hint="eastAsia" w:ascii="宋体" w:hAnsi="宋体"/>
          <w:color w:val="auto"/>
          <w:kern w:val="0"/>
          <w:szCs w:val="21"/>
          <w:highlight w:val="none"/>
          <w:lang w:eastAsia="zh-CN"/>
        </w:rPr>
        <w:t>参选</w:t>
      </w:r>
      <w:r>
        <w:rPr>
          <w:rFonts w:hint="eastAsia" w:ascii="宋体" w:hAnsi="宋体"/>
          <w:color w:val="auto"/>
          <w:kern w:val="0"/>
          <w:szCs w:val="21"/>
          <w:highlight w:val="none"/>
        </w:rPr>
        <w:t>文件</w:t>
      </w:r>
      <w:r>
        <w:rPr>
          <w:rFonts w:ascii="宋体" w:hAnsi="宋体"/>
          <w:color w:val="auto"/>
          <w:kern w:val="0"/>
          <w:szCs w:val="21"/>
          <w:highlight w:val="none"/>
        </w:rPr>
        <w:t>、</w:t>
      </w:r>
      <w:r>
        <w:rPr>
          <w:rFonts w:hint="eastAsia" w:ascii="宋体" w:hAnsi="宋体"/>
          <w:color w:val="auto"/>
          <w:kern w:val="0"/>
          <w:szCs w:val="21"/>
          <w:highlight w:val="none"/>
        </w:rPr>
        <w:t>领取原件、</w:t>
      </w:r>
      <w:r>
        <w:rPr>
          <w:rFonts w:ascii="宋体" w:hAnsi="宋体"/>
          <w:color w:val="auto"/>
          <w:kern w:val="0"/>
          <w:szCs w:val="21"/>
          <w:highlight w:val="none"/>
        </w:rPr>
        <w:t>签订合同和处理有关事宜， 其法律后果由我方承担。</w:t>
      </w:r>
    </w:p>
    <w:p>
      <w:pPr>
        <w:tabs>
          <w:tab w:val="left" w:pos="1680"/>
          <w:tab w:val="left" w:pos="4215"/>
          <w:tab w:val="left" w:pos="4305"/>
          <w:tab w:val="left" w:pos="8000"/>
        </w:tabs>
        <w:autoSpaceDE w:val="0"/>
        <w:autoSpaceDN w:val="0"/>
        <w:adjustRightInd w:val="0"/>
        <w:snapToGrid w:val="0"/>
        <w:spacing w:line="480" w:lineRule="auto"/>
        <w:ind w:firstLine="420"/>
        <w:rPr>
          <w:rFonts w:ascii="宋体" w:hAnsi="宋体"/>
          <w:color w:val="auto"/>
          <w:kern w:val="0"/>
          <w:szCs w:val="21"/>
          <w:highlight w:val="none"/>
        </w:rPr>
      </w:pPr>
      <w:r>
        <w:rPr>
          <w:rFonts w:ascii="宋体" w:hAnsi="宋体"/>
          <w:color w:val="auto"/>
          <w:kern w:val="0"/>
          <w:szCs w:val="21"/>
          <w:highlight w:val="none"/>
        </w:rPr>
        <w:t>委托</w:t>
      </w:r>
      <w:r>
        <w:rPr>
          <w:rFonts w:ascii="宋体" w:hAnsi="宋体"/>
          <w:color w:val="auto"/>
          <w:spacing w:val="-1"/>
          <w:kern w:val="0"/>
          <w:szCs w:val="21"/>
          <w:highlight w:val="none"/>
        </w:rPr>
        <w:t>期</w:t>
      </w:r>
      <w:r>
        <w:rPr>
          <w:rFonts w:ascii="宋体" w:hAnsi="宋体"/>
          <w:color w:val="auto"/>
          <w:kern w:val="0"/>
          <w:szCs w:val="21"/>
          <w:highlight w:val="none"/>
        </w:rPr>
        <w:t>限：</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kern w:val="0"/>
          <w:szCs w:val="21"/>
          <w:highlight w:val="none"/>
          <w:u w:val="single"/>
        </w:rPr>
        <w:tab/>
      </w:r>
      <w:r>
        <w:rPr>
          <w:rFonts w:ascii="宋体" w:hAnsi="宋体"/>
          <w:color w:val="auto"/>
          <w:kern w:val="0"/>
          <w:szCs w:val="21"/>
          <w:highlight w:val="none"/>
        </w:rPr>
        <w:t xml:space="preserve">。 </w:t>
      </w:r>
    </w:p>
    <w:p>
      <w:pPr>
        <w:tabs>
          <w:tab w:val="left" w:pos="1680"/>
          <w:tab w:val="left" w:pos="4215"/>
          <w:tab w:val="left" w:pos="4305"/>
          <w:tab w:val="left" w:pos="8000"/>
        </w:tabs>
        <w:autoSpaceDE w:val="0"/>
        <w:autoSpaceDN w:val="0"/>
        <w:adjustRightInd w:val="0"/>
        <w:snapToGrid w:val="0"/>
        <w:spacing w:line="480" w:lineRule="auto"/>
        <w:ind w:firstLine="420"/>
        <w:rPr>
          <w:rFonts w:ascii="宋体" w:hAnsi="宋体"/>
          <w:color w:val="auto"/>
          <w:kern w:val="0"/>
          <w:sz w:val="20"/>
          <w:szCs w:val="20"/>
          <w:highlight w:val="none"/>
        </w:rPr>
      </w:pPr>
      <w:r>
        <w:rPr>
          <w:rFonts w:ascii="宋体" w:hAnsi="宋体"/>
          <w:color w:val="auto"/>
          <w:kern w:val="0"/>
          <w:szCs w:val="21"/>
          <w:highlight w:val="none"/>
        </w:rPr>
        <w:t>代理人无转委托权。</w:t>
      </w:r>
    </w:p>
    <w:p>
      <w:pPr>
        <w:tabs>
          <w:tab w:val="left" w:pos="4200"/>
          <w:tab w:val="left" w:pos="4620"/>
        </w:tabs>
        <w:autoSpaceDE w:val="0"/>
        <w:autoSpaceDN w:val="0"/>
        <w:adjustRightInd w:val="0"/>
        <w:snapToGrid w:val="0"/>
        <w:spacing w:line="48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eastAsia="zh-CN"/>
        </w:rPr>
        <w:t>参选</w:t>
      </w:r>
      <w:r>
        <w:rPr>
          <w:rFonts w:hint="eastAsia" w:ascii="宋体" w:hAnsi="宋体"/>
          <w:color w:val="auto"/>
          <w:kern w:val="0"/>
          <w:szCs w:val="21"/>
          <w:highlight w:val="none"/>
        </w:rPr>
        <w:t>人</w:t>
      </w:r>
      <w:r>
        <w:rPr>
          <w:rFonts w:ascii="宋体" w:hAnsi="宋体"/>
          <w:color w:val="auto"/>
          <w:kern w:val="0"/>
          <w:szCs w:val="21"/>
          <w:highlight w:val="none"/>
        </w:rPr>
        <w:t>：</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ascii="宋体" w:hAnsi="宋体"/>
          <w:color w:val="auto"/>
          <w:kern w:val="0"/>
          <w:szCs w:val="21"/>
          <w:highlight w:val="none"/>
        </w:rPr>
        <w:t>（</w:t>
      </w:r>
      <w:r>
        <w:rPr>
          <w:rFonts w:ascii="宋体" w:hAnsi="宋体"/>
          <w:color w:val="auto"/>
          <w:spacing w:val="-1"/>
          <w:kern w:val="0"/>
          <w:szCs w:val="21"/>
          <w:highlight w:val="none"/>
        </w:rPr>
        <w:t>盖单位</w:t>
      </w:r>
      <w:r>
        <w:rPr>
          <w:rFonts w:hint="eastAsia" w:ascii="宋体" w:hAnsi="宋体"/>
          <w:color w:val="auto"/>
          <w:spacing w:val="-1"/>
          <w:kern w:val="0"/>
          <w:szCs w:val="21"/>
          <w:highlight w:val="none"/>
        </w:rPr>
        <w:t>公</w:t>
      </w:r>
      <w:r>
        <w:rPr>
          <w:rFonts w:ascii="宋体" w:hAnsi="宋体"/>
          <w:color w:val="auto"/>
          <w:spacing w:val="-1"/>
          <w:kern w:val="0"/>
          <w:szCs w:val="21"/>
          <w:highlight w:val="none"/>
        </w:rPr>
        <w:t>章</w:t>
      </w:r>
      <w:r>
        <w:rPr>
          <w:rFonts w:ascii="宋体" w:hAnsi="宋体"/>
          <w:color w:val="auto"/>
          <w:kern w:val="0"/>
          <w:szCs w:val="21"/>
          <w:highlight w:val="none"/>
        </w:rPr>
        <w:t>）</w:t>
      </w:r>
    </w:p>
    <w:p>
      <w:pPr>
        <w:tabs>
          <w:tab w:val="left" w:pos="6300"/>
        </w:tabs>
        <w:autoSpaceDE w:val="0"/>
        <w:autoSpaceDN w:val="0"/>
        <w:adjustRightInd w:val="0"/>
        <w:snapToGrid w:val="0"/>
        <w:spacing w:line="48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法定代表人：</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kern w:val="0"/>
          <w:szCs w:val="21"/>
          <w:highlight w:val="none"/>
        </w:rPr>
        <w:t>（签字或盖章）</w:t>
      </w:r>
    </w:p>
    <w:p>
      <w:pPr>
        <w:tabs>
          <w:tab w:val="left" w:pos="5260"/>
        </w:tabs>
        <w:autoSpaceDE w:val="0"/>
        <w:autoSpaceDN w:val="0"/>
        <w:adjustRightInd w:val="0"/>
        <w:snapToGrid w:val="0"/>
        <w:spacing w:line="480" w:lineRule="auto"/>
        <w:ind w:firstLine="420" w:firstLineChars="200"/>
        <w:jc w:val="left"/>
        <w:rPr>
          <w:rFonts w:hint="eastAsia" w:ascii="宋体" w:hAnsi="宋体"/>
          <w:color w:val="auto"/>
          <w:kern w:val="0"/>
          <w:szCs w:val="21"/>
          <w:highlight w:val="none"/>
          <w:u w:val="single"/>
        </w:rPr>
      </w:pPr>
      <w:r>
        <w:rPr>
          <w:rFonts w:ascii="宋体" w:hAnsi="宋体"/>
          <w:color w:val="auto"/>
          <w:kern w:val="0"/>
          <w:szCs w:val="21"/>
          <w:highlight w:val="none"/>
        </w:rPr>
        <w:t>身份证号码：</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p>
    <w:p>
      <w:pPr>
        <w:tabs>
          <w:tab w:val="left" w:pos="5260"/>
        </w:tabs>
        <w:autoSpaceDE w:val="0"/>
        <w:autoSpaceDN w:val="0"/>
        <w:adjustRightInd w:val="0"/>
        <w:snapToGrid w:val="0"/>
        <w:spacing w:line="48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委托代理人：</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ascii="宋体" w:hAnsi="宋体"/>
          <w:color w:val="auto"/>
          <w:kern w:val="0"/>
          <w:szCs w:val="21"/>
          <w:highlight w:val="none"/>
        </w:rPr>
        <w:t>（签</w:t>
      </w:r>
      <w:r>
        <w:rPr>
          <w:rFonts w:ascii="宋体" w:hAnsi="宋体"/>
          <w:color w:val="auto"/>
          <w:spacing w:val="-1"/>
          <w:kern w:val="0"/>
          <w:szCs w:val="21"/>
          <w:highlight w:val="none"/>
        </w:rPr>
        <w:t>字</w:t>
      </w:r>
      <w:r>
        <w:rPr>
          <w:rFonts w:ascii="宋体" w:hAnsi="宋体"/>
          <w:color w:val="auto"/>
          <w:kern w:val="0"/>
          <w:szCs w:val="21"/>
          <w:highlight w:val="none"/>
        </w:rPr>
        <w:t>）</w:t>
      </w:r>
    </w:p>
    <w:p>
      <w:pPr>
        <w:tabs>
          <w:tab w:val="left" w:pos="6825"/>
        </w:tabs>
        <w:autoSpaceDE w:val="0"/>
        <w:autoSpaceDN w:val="0"/>
        <w:adjustRightInd w:val="0"/>
        <w:snapToGrid w:val="0"/>
        <w:spacing w:line="48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身份证号码：</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kern w:val="0"/>
          <w:szCs w:val="21"/>
          <w:highlight w:val="none"/>
          <w:u w:val="single"/>
        </w:rPr>
        <w:t xml:space="preserve">    </w:t>
      </w:r>
    </w:p>
    <w:p>
      <w:pPr>
        <w:autoSpaceDE w:val="0"/>
        <w:autoSpaceDN w:val="0"/>
        <w:adjustRightInd w:val="0"/>
        <w:snapToGrid w:val="0"/>
        <w:spacing w:line="480" w:lineRule="auto"/>
        <w:jc w:val="left"/>
        <w:rPr>
          <w:rFonts w:hint="eastAsia" w:ascii="宋体" w:hAnsi="宋体"/>
          <w:color w:val="auto"/>
          <w:kern w:val="0"/>
          <w:sz w:val="20"/>
          <w:szCs w:val="20"/>
          <w:highlight w:val="none"/>
        </w:rPr>
      </w:pPr>
    </w:p>
    <w:tbl>
      <w:tblPr>
        <w:tblStyle w:val="54"/>
        <w:tblpPr w:leftFromText="180" w:rightFromText="180" w:vertAnchor="text" w:horzAnchor="margin" w:tblpY="81"/>
        <w:tblW w:w="0" w:type="auto"/>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3815"/>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1867" w:hRule="atLeast"/>
        </w:trPr>
        <w:tc>
          <w:tcPr>
            <w:tcW w:w="3815" w:type="dxa"/>
            <w:noWrap w:val="0"/>
            <w:vAlign w:val="top"/>
          </w:tcPr>
          <w:p>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法定代表人身份证复印件双面</w:t>
            </w:r>
          </w:p>
          <w:p>
            <w:pPr>
              <w:spacing w:line="360" w:lineRule="auto"/>
              <w:jc w:val="center"/>
              <w:rPr>
                <w:rFonts w:hint="eastAsia" w:ascii="宋体" w:hAnsi="宋体" w:cs="宋体"/>
                <w:b/>
                <w:color w:val="auto"/>
                <w:szCs w:val="21"/>
                <w:highlight w:val="none"/>
              </w:rPr>
            </w:pPr>
          </w:p>
        </w:tc>
      </w:tr>
    </w:tbl>
    <w:p>
      <w:pPr>
        <w:rPr>
          <w:vanish/>
          <w:color w:val="auto"/>
          <w:highlight w:val="none"/>
        </w:rPr>
      </w:pPr>
    </w:p>
    <w:tbl>
      <w:tblPr>
        <w:tblStyle w:val="54"/>
        <w:tblpPr w:leftFromText="180" w:rightFromText="180" w:vertAnchor="text" w:horzAnchor="page" w:tblpX="6047" w:tblpY="114"/>
        <w:tblW w:w="0" w:type="auto"/>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398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1827" w:hRule="atLeast"/>
        </w:trPr>
        <w:tc>
          <w:tcPr>
            <w:tcW w:w="3980" w:type="dxa"/>
            <w:noWrap w:val="0"/>
            <w:vAlign w:val="top"/>
          </w:tcPr>
          <w:p>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委托代理人身份证复印件双面</w:t>
            </w:r>
          </w:p>
          <w:p>
            <w:pPr>
              <w:spacing w:line="360" w:lineRule="auto"/>
              <w:jc w:val="center"/>
              <w:rPr>
                <w:rFonts w:hint="eastAsia" w:ascii="宋体" w:hAnsi="宋体" w:cs="宋体"/>
                <w:b/>
                <w:color w:val="auto"/>
                <w:szCs w:val="21"/>
                <w:highlight w:val="none"/>
              </w:rPr>
            </w:pPr>
          </w:p>
        </w:tc>
      </w:tr>
    </w:tbl>
    <w:p>
      <w:pPr>
        <w:autoSpaceDE w:val="0"/>
        <w:autoSpaceDN w:val="0"/>
        <w:adjustRightInd w:val="0"/>
        <w:snapToGrid w:val="0"/>
        <w:spacing w:line="480" w:lineRule="auto"/>
        <w:jc w:val="left"/>
        <w:rPr>
          <w:rFonts w:hint="eastAsia" w:ascii="宋体" w:hAnsi="宋体"/>
          <w:color w:val="auto"/>
          <w:kern w:val="0"/>
          <w:sz w:val="20"/>
          <w:szCs w:val="20"/>
          <w:highlight w:val="none"/>
        </w:rPr>
      </w:pPr>
    </w:p>
    <w:p>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color w:val="auto"/>
          <w:w w:val="200"/>
          <w:kern w:val="0"/>
          <w:szCs w:val="21"/>
          <w:highlight w:val="none"/>
          <w:u w:val="single"/>
        </w:rPr>
      </w:pPr>
    </w:p>
    <w:p>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color w:val="auto"/>
          <w:w w:val="200"/>
          <w:kern w:val="0"/>
          <w:szCs w:val="21"/>
          <w:highlight w:val="none"/>
          <w:u w:val="single"/>
        </w:rPr>
      </w:pPr>
    </w:p>
    <w:p>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color w:val="auto"/>
          <w:w w:val="200"/>
          <w:kern w:val="0"/>
          <w:szCs w:val="21"/>
          <w:highlight w:val="none"/>
          <w:u w:val="single"/>
        </w:rPr>
      </w:pPr>
    </w:p>
    <w:p>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color w:val="auto"/>
          <w:w w:val="200"/>
          <w:kern w:val="0"/>
          <w:szCs w:val="21"/>
          <w:highlight w:val="none"/>
          <w:u w:val="single"/>
        </w:rPr>
      </w:pPr>
    </w:p>
    <w:p>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color w:val="auto"/>
          <w:w w:val="200"/>
          <w:kern w:val="0"/>
          <w:szCs w:val="21"/>
          <w:highlight w:val="none"/>
          <w:u w:val="single"/>
        </w:rPr>
      </w:pPr>
    </w:p>
    <w:p>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color w:val="auto"/>
          <w:kern w:val="0"/>
          <w:szCs w:val="21"/>
          <w:highlight w:val="none"/>
        </w:rPr>
      </w:pPr>
      <w:r>
        <w:rPr>
          <w:rFonts w:hint="eastAsia" w:ascii="宋体" w:hAnsi="宋体"/>
          <w:color w:val="auto"/>
          <w:w w:val="200"/>
          <w:kern w:val="0"/>
          <w:szCs w:val="21"/>
          <w:highlight w:val="none"/>
          <w:u w:val="single"/>
        </w:rPr>
        <w:t xml:space="preserve">      </w:t>
      </w:r>
      <w:r>
        <w:rPr>
          <w:rFonts w:ascii="宋体" w:hAnsi="宋体"/>
          <w:color w:val="auto"/>
          <w:kern w:val="0"/>
          <w:szCs w:val="21"/>
          <w:highlight w:val="none"/>
        </w:rPr>
        <w:t>年</w:t>
      </w:r>
      <w:r>
        <w:rPr>
          <w:rFonts w:ascii="宋体" w:hAnsi="宋体"/>
          <w:color w:val="auto"/>
          <w:w w:val="200"/>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月</w:t>
      </w:r>
      <w:r>
        <w:rPr>
          <w:rFonts w:ascii="宋体" w:hAnsi="宋体"/>
          <w:color w:val="auto"/>
          <w:w w:val="200"/>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日</w:t>
      </w:r>
      <w:r>
        <w:rPr>
          <w:rFonts w:hint="eastAsia" w:ascii="宋体" w:hAnsi="宋体"/>
          <w:color w:val="auto"/>
          <w:kern w:val="0"/>
          <w:szCs w:val="21"/>
          <w:highlight w:val="none"/>
        </w:rPr>
        <w:t xml:space="preserve"> </w:t>
      </w:r>
    </w:p>
    <w:p>
      <w:pPr>
        <w:tabs>
          <w:tab w:val="left" w:pos="5760"/>
        </w:tabs>
        <w:autoSpaceDE w:val="0"/>
        <w:autoSpaceDN w:val="0"/>
        <w:adjustRightInd w:val="0"/>
        <w:spacing w:line="360" w:lineRule="auto"/>
        <w:ind w:firstLine="420" w:firstLineChars="200"/>
        <w:rPr>
          <w:rFonts w:hint="eastAsia" w:ascii="宋体" w:hAnsi="宋体"/>
          <w:color w:val="auto"/>
          <w:kern w:val="0"/>
          <w:highlight w:val="none"/>
        </w:rPr>
      </w:pPr>
    </w:p>
    <w:p>
      <w:pPr>
        <w:spacing w:line="360" w:lineRule="auto"/>
        <w:ind w:firstLine="422" w:firstLineChars="200"/>
        <w:rPr>
          <w:rFonts w:ascii="宋体" w:hAnsi="宋体"/>
          <w:color w:val="auto"/>
          <w:highlight w:val="none"/>
        </w:rPr>
      </w:pPr>
      <w:r>
        <w:rPr>
          <w:rFonts w:hint="eastAsia" w:ascii="宋体" w:hAnsi="宋体" w:cs="宋体"/>
          <w:b/>
          <w:bCs/>
          <w:color w:val="auto"/>
          <w:kern w:val="0"/>
          <w:szCs w:val="21"/>
          <w:highlight w:val="none"/>
        </w:rPr>
        <w:t>注：法定代表人身份证明及授权委托书须另外准备一份原件，随</w:t>
      </w:r>
      <w:r>
        <w:rPr>
          <w:rFonts w:hint="eastAsia" w:ascii="宋体" w:hAnsi="宋体" w:cs="宋体"/>
          <w:b/>
          <w:bCs/>
          <w:color w:val="auto"/>
          <w:kern w:val="0"/>
          <w:szCs w:val="21"/>
          <w:highlight w:val="none"/>
          <w:lang w:eastAsia="zh-CN"/>
        </w:rPr>
        <w:t>参选</w:t>
      </w:r>
      <w:r>
        <w:rPr>
          <w:rFonts w:hint="eastAsia" w:ascii="宋体" w:hAnsi="宋体" w:cs="宋体"/>
          <w:b/>
          <w:bCs/>
          <w:color w:val="auto"/>
          <w:kern w:val="0"/>
          <w:szCs w:val="21"/>
          <w:highlight w:val="none"/>
        </w:rPr>
        <w:t>文件一并递交</w:t>
      </w:r>
      <w:r>
        <w:rPr>
          <w:rFonts w:ascii="宋体" w:hAnsi="宋体"/>
          <w:color w:val="auto"/>
          <w:highlight w:val="none"/>
        </w:rPr>
        <w:t>。</w:t>
      </w:r>
    </w:p>
    <w:p>
      <w:pPr>
        <w:rPr>
          <w:rFonts w:hint="eastAsia"/>
          <w:color w:val="auto"/>
          <w:sz w:val="36"/>
          <w:szCs w:val="44"/>
          <w:highlight w:val="none"/>
        </w:rPr>
      </w:pPr>
      <w:bookmarkStart w:id="77" w:name="_Toc224103510"/>
      <w:bookmarkStart w:id="78" w:name="_Toc277082656"/>
      <w:bookmarkStart w:id="79" w:name="_Toc14443"/>
      <w:bookmarkStart w:id="80" w:name="_Toc32678"/>
      <w:bookmarkStart w:id="81" w:name="_Toc42269745"/>
      <w:bookmarkStart w:id="82" w:name="_Toc430530545"/>
      <w:bookmarkStart w:id="83" w:name="_Toc287607882"/>
      <w:bookmarkStart w:id="84" w:name="_Toc287620829"/>
      <w:bookmarkStart w:id="85" w:name="_Toc16263"/>
    </w:p>
    <w:p>
      <w:pPr>
        <w:jc w:val="center"/>
        <w:outlineLvl w:val="1"/>
        <w:rPr>
          <w:rFonts w:hint="eastAsia"/>
          <w:color w:val="auto"/>
          <w:sz w:val="36"/>
          <w:szCs w:val="44"/>
          <w:highlight w:val="none"/>
        </w:rPr>
      </w:pPr>
    </w:p>
    <w:p>
      <w:pPr>
        <w:jc w:val="center"/>
        <w:outlineLvl w:val="1"/>
        <w:rPr>
          <w:rFonts w:hint="eastAsia"/>
          <w:color w:val="auto"/>
          <w:sz w:val="36"/>
          <w:szCs w:val="44"/>
          <w:highlight w:val="none"/>
        </w:rPr>
      </w:pPr>
    </w:p>
    <w:p>
      <w:pPr>
        <w:jc w:val="center"/>
        <w:outlineLvl w:val="1"/>
        <w:rPr>
          <w:rFonts w:hint="eastAsia"/>
          <w:color w:val="auto"/>
          <w:sz w:val="36"/>
          <w:szCs w:val="44"/>
          <w:highlight w:val="none"/>
        </w:rPr>
      </w:pPr>
    </w:p>
    <w:p>
      <w:pPr>
        <w:rPr>
          <w:rFonts w:hint="eastAsia"/>
          <w:color w:val="auto"/>
          <w:sz w:val="36"/>
          <w:szCs w:val="44"/>
          <w:highlight w:val="none"/>
        </w:rPr>
      </w:pPr>
    </w:p>
    <w:p>
      <w:pPr>
        <w:jc w:val="center"/>
        <w:outlineLvl w:val="1"/>
        <w:rPr>
          <w:rFonts w:hint="eastAsia"/>
          <w:color w:val="auto"/>
          <w:highlight w:val="none"/>
        </w:rPr>
      </w:pPr>
      <w:r>
        <w:rPr>
          <w:rFonts w:hint="eastAsia"/>
          <w:color w:val="auto"/>
          <w:sz w:val="36"/>
          <w:szCs w:val="44"/>
          <w:highlight w:val="none"/>
          <w:lang w:val="en-US" w:eastAsia="zh-CN"/>
        </w:rPr>
        <w:t>二</w:t>
      </w:r>
      <w:r>
        <w:rPr>
          <w:rFonts w:hint="eastAsia"/>
          <w:color w:val="auto"/>
          <w:sz w:val="36"/>
          <w:szCs w:val="44"/>
          <w:highlight w:val="none"/>
        </w:rPr>
        <w:t>、资格审查部分</w:t>
      </w:r>
      <w:r>
        <w:rPr>
          <w:rFonts w:hint="eastAsia"/>
          <w:color w:val="auto"/>
          <w:highlight w:val="none"/>
        </w:rPr>
        <w:br w:type="page"/>
      </w:r>
    </w:p>
    <w:p>
      <w:pPr>
        <w:spacing w:line="360" w:lineRule="auto"/>
        <w:jc w:val="center"/>
        <w:rPr>
          <w:rFonts w:hint="eastAsia" w:ascii="宋体" w:hAnsi="宋体"/>
          <w:color w:val="auto"/>
          <w:kern w:val="0"/>
          <w:sz w:val="32"/>
          <w:szCs w:val="32"/>
          <w:highlight w:val="none"/>
        </w:rPr>
      </w:pPr>
      <w:r>
        <w:rPr>
          <w:rFonts w:hint="eastAsia" w:ascii="宋体" w:hAnsi="宋体"/>
          <w:color w:val="auto"/>
          <w:kern w:val="0"/>
          <w:sz w:val="32"/>
          <w:szCs w:val="32"/>
          <w:highlight w:val="none"/>
          <w:u w:val="single"/>
        </w:rPr>
        <w:t xml:space="preserve">                   </w:t>
      </w:r>
      <w:r>
        <w:rPr>
          <w:rFonts w:hint="eastAsia" w:ascii="宋体" w:hAnsi="宋体"/>
          <w:color w:val="auto"/>
          <w:kern w:val="0"/>
          <w:sz w:val="32"/>
          <w:szCs w:val="32"/>
          <w:highlight w:val="none"/>
        </w:rPr>
        <w:t>（项目名称）</w:t>
      </w:r>
    </w:p>
    <w:p>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highlight w:val="none"/>
        </w:rPr>
      </w:pPr>
    </w:p>
    <w:p>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highlight w:val="none"/>
        </w:rPr>
      </w:pPr>
    </w:p>
    <w:p>
      <w:pPr>
        <w:tabs>
          <w:tab w:val="left" w:pos="3600"/>
          <w:tab w:val="left" w:pos="4480"/>
          <w:tab w:val="left" w:pos="5360"/>
        </w:tabs>
        <w:autoSpaceDE w:val="0"/>
        <w:autoSpaceDN w:val="0"/>
        <w:adjustRightInd w:val="0"/>
        <w:snapToGrid w:val="0"/>
        <w:spacing w:line="360" w:lineRule="auto"/>
        <w:jc w:val="left"/>
        <w:rPr>
          <w:rFonts w:ascii="宋体" w:hAnsi="宋体"/>
          <w:color w:val="auto"/>
          <w:kern w:val="0"/>
          <w:sz w:val="44"/>
          <w:szCs w:val="44"/>
          <w:highlight w:val="none"/>
        </w:rPr>
      </w:pPr>
    </w:p>
    <w:p>
      <w:pPr>
        <w:tabs>
          <w:tab w:val="left" w:pos="3600"/>
          <w:tab w:val="left" w:pos="4480"/>
          <w:tab w:val="left" w:pos="5360"/>
        </w:tabs>
        <w:autoSpaceDE w:val="0"/>
        <w:autoSpaceDN w:val="0"/>
        <w:adjustRightInd w:val="0"/>
        <w:snapToGrid w:val="0"/>
        <w:spacing w:line="360" w:lineRule="auto"/>
        <w:jc w:val="center"/>
        <w:rPr>
          <w:rFonts w:ascii="宋体" w:hAnsi="宋体"/>
          <w:color w:val="auto"/>
          <w:kern w:val="0"/>
          <w:sz w:val="72"/>
          <w:szCs w:val="72"/>
          <w:highlight w:val="none"/>
        </w:rPr>
      </w:pPr>
      <w:r>
        <w:rPr>
          <w:rFonts w:hint="eastAsia" w:ascii="宋体" w:hAnsi="宋体"/>
          <w:color w:val="auto"/>
          <w:kern w:val="0"/>
          <w:sz w:val="72"/>
          <w:szCs w:val="72"/>
          <w:highlight w:val="none"/>
          <w:lang w:eastAsia="zh-CN"/>
        </w:rPr>
        <w:t>参选</w:t>
      </w:r>
      <w:r>
        <w:rPr>
          <w:rFonts w:hint="eastAsia" w:ascii="宋体" w:hAnsi="宋体"/>
          <w:color w:val="auto"/>
          <w:kern w:val="0"/>
          <w:sz w:val="72"/>
          <w:szCs w:val="72"/>
          <w:highlight w:val="none"/>
        </w:rPr>
        <w:t>文件</w:t>
      </w:r>
    </w:p>
    <w:p>
      <w:pPr>
        <w:autoSpaceDE w:val="0"/>
        <w:autoSpaceDN w:val="0"/>
        <w:adjustRightInd w:val="0"/>
        <w:snapToGrid w:val="0"/>
        <w:spacing w:line="360" w:lineRule="auto"/>
        <w:jc w:val="center"/>
        <w:rPr>
          <w:rFonts w:hint="eastAsia" w:ascii="宋体" w:hAnsi="宋体"/>
          <w:b/>
          <w:bCs/>
          <w:color w:val="auto"/>
          <w:kern w:val="0"/>
          <w:sz w:val="40"/>
          <w:szCs w:val="40"/>
          <w:highlight w:val="none"/>
        </w:rPr>
      </w:pPr>
      <w:r>
        <w:rPr>
          <w:rFonts w:hint="eastAsia" w:ascii="宋体" w:hAnsi="宋体"/>
          <w:b/>
          <w:bCs/>
          <w:color w:val="auto"/>
          <w:kern w:val="0"/>
          <w:sz w:val="40"/>
          <w:szCs w:val="40"/>
          <w:highlight w:val="none"/>
        </w:rPr>
        <w:t>（资格审查部分）</w:t>
      </w: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autoSpaceDE w:val="0"/>
        <w:autoSpaceDN w:val="0"/>
        <w:adjustRightInd w:val="0"/>
        <w:snapToGrid w:val="0"/>
        <w:spacing w:line="360" w:lineRule="auto"/>
        <w:jc w:val="left"/>
        <w:rPr>
          <w:rFonts w:ascii="宋体" w:hAnsi="宋体"/>
          <w:b/>
          <w:color w:val="auto"/>
          <w:kern w:val="0"/>
          <w:sz w:val="20"/>
          <w:szCs w:val="20"/>
          <w:highlight w:val="none"/>
        </w:rPr>
      </w:pPr>
    </w:p>
    <w:p>
      <w:pPr>
        <w:tabs>
          <w:tab w:val="left" w:pos="6080"/>
          <w:tab w:val="left" w:pos="6640"/>
        </w:tabs>
        <w:autoSpaceDE w:val="0"/>
        <w:autoSpaceDN w:val="0"/>
        <w:adjustRightInd w:val="0"/>
        <w:snapToGrid w:val="0"/>
        <w:spacing w:after="160" w:afterLines="50" w:line="360" w:lineRule="auto"/>
        <w:jc w:val="center"/>
        <w:rPr>
          <w:rFonts w:ascii="宋体" w:hAnsi="宋体"/>
          <w:color w:val="auto"/>
          <w:w w:val="99"/>
          <w:kern w:val="0"/>
          <w:sz w:val="28"/>
          <w:szCs w:val="28"/>
          <w:highlight w:val="none"/>
        </w:rPr>
      </w:pPr>
      <w:r>
        <w:rPr>
          <w:rFonts w:hint="eastAsia" w:ascii="宋体" w:hAnsi="宋体"/>
          <w:color w:val="auto"/>
          <w:spacing w:val="1"/>
          <w:w w:val="99"/>
          <w:kern w:val="0"/>
          <w:sz w:val="28"/>
          <w:szCs w:val="28"/>
          <w:highlight w:val="none"/>
          <w:lang w:eastAsia="zh-CN"/>
        </w:rPr>
        <w:t>参选</w:t>
      </w:r>
      <w:r>
        <w:rPr>
          <w:rFonts w:hint="eastAsia" w:ascii="宋体" w:hAnsi="宋体"/>
          <w:color w:val="auto"/>
          <w:spacing w:val="1"/>
          <w:w w:val="99"/>
          <w:kern w:val="0"/>
          <w:sz w:val="28"/>
          <w:szCs w:val="28"/>
          <w:highlight w:val="none"/>
        </w:rPr>
        <w:t>人</w:t>
      </w:r>
      <w:r>
        <w:rPr>
          <w:rFonts w:ascii="宋体" w:hAnsi="宋体"/>
          <w:color w:val="auto"/>
          <w:spacing w:val="1"/>
          <w:w w:val="99"/>
          <w:kern w:val="0"/>
          <w:sz w:val="28"/>
          <w:szCs w:val="28"/>
          <w:highlight w:val="none"/>
        </w:rPr>
        <w:t>：</w:t>
      </w:r>
      <w:r>
        <w:rPr>
          <w:rFonts w:ascii="宋体" w:hAnsi="宋体"/>
          <w:color w:val="auto"/>
          <w:w w:val="198"/>
          <w:kern w:val="0"/>
          <w:sz w:val="28"/>
          <w:szCs w:val="28"/>
          <w:highlight w:val="none"/>
          <w:u w:val="single"/>
        </w:rPr>
        <w:t xml:space="preserve"> 　　　　 　　</w:t>
      </w:r>
      <w:r>
        <w:rPr>
          <w:rFonts w:ascii="宋体" w:hAnsi="宋体"/>
          <w:color w:val="auto"/>
          <w:w w:val="99"/>
          <w:kern w:val="0"/>
          <w:sz w:val="28"/>
          <w:szCs w:val="28"/>
          <w:highlight w:val="none"/>
        </w:rPr>
        <w:t>（盖单位</w:t>
      </w:r>
      <w:r>
        <w:rPr>
          <w:rFonts w:hint="eastAsia" w:ascii="宋体" w:hAnsi="宋体"/>
          <w:color w:val="auto"/>
          <w:w w:val="99"/>
          <w:kern w:val="0"/>
          <w:sz w:val="28"/>
          <w:szCs w:val="28"/>
          <w:highlight w:val="none"/>
        </w:rPr>
        <w:t>公</w:t>
      </w:r>
      <w:r>
        <w:rPr>
          <w:rFonts w:ascii="宋体" w:hAnsi="宋体"/>
          <w:color w:val="auto"/>
          <w:w w:val="99"/>
          <w:kern w:val="0"/>
          <w:sz w:val="28"/>
          <w:szCs w:val="28"/>
          <w:highlight w:val="none"/>
        </w:rPr>
        <w:t>章）</w:t>
      </w:r>
    </w:p>
    <w:p>
      <w:pPr>
        <w:tabs>
          <w:tab w:val="left" w:pos="6080"/>
          <w:tab w:val="left" w:pos="6640"/>
        </w:tabs>
        <w:autoSpaceDE w:val="0"/>
        <w:autoSpaceDN w:val="0"/>
        <w:adjustRightInd w:val="0"/>
        <w:snapToGrid w:val="0"/>
        <w:spacing w:after="160" w:afterLines="50" w:line="360" w:lineRule="auto"/>
        <w:jc w:val="center"/>
        <w:rPr>
          <w:rFonts w:ascii="宋体" w:hAnsi="宋体"/>
          <w:color w:val="auto"/>
          <w:kern w:val="0"/>
          <w:sz w:val="28"/>
          <w:szCs w:val="28"/>
          <w:highlight w:val="none"/>
        </w:rPr>
      </w:pPr>
      <w:r>
        <w:rPr>
          <w:rFonts w:ascii="宋体" w:hAnsi="宋体"/>
          <w:color w:val="auto"/>
          <w:w w:val="99"/>
          <w:kern w:val="0"/>
          <w:sz w:val="28"/>
          <w:szCs w:val="28"/>
          <w:highlight w:val="none"/>
        </w:rPr>
        <w:t>法定代表人或其委托代理人：</w:t>
      </w:r>
      <w:r>
        <w:rPr>
          <w:rFonts w:ascii="宋体" w:hAnsi="宋体"/>
          <w:color w:val="auto"/>
          <w:w w:val="198"/>
          <w:kern w:val="0"/>
          <w:sz w:val="28"/>
          <w:szCs w:val="28"/>
          <w:highlight w:val="none"/>
          <w:u w:val="single"/>
        </w:rPr>
        <w:t xml:space="preserve"> 　　 </w:t>
      </w:r>
      <w:r>
        <w:rPr>
          <w:rFonts w:ascii="宋体" w:hAnsi="宋体"/>
          <w:color w:val="auto"/>
          <w:w w:val="99"/>
          <w:kern w:val="0"/>
          <w:sz w:val="28"/>
          <w:szCs w:val="28"/>
          <w:highlight w:val="none"/>
        </w:rPr>
        <w:t>（签字或盖章）</w:t>
      </w:r>
    </w:p>
    <w:p>
      <w:pPr>
        <w:spacing w:line="360" w:lineRule="auto"/>
        <w:jc w:val="center"/>
        <w:rPr>
          <w:rFonts w:hint="eastAsia" w:ascii="宋体" w:hAnsi="宋体"/>
          <w:color w:val="auto"/>
          <w:w w:val="99"/>
          <w:kern w:val="0"/>
          <w:sz w:val="28"/>
          <w:szCs w:val="28"/>
          <w:highlight w:val="none"/>
        </w:rPr>
      </w:pPr>
      <w:r>
        <w:rPr>
          <w:rFonts w:hint="eastAsia" w:ascii="宋体" w:hAnsi="宋体"/>
          <w:color w:val="auto"/>
          <w:w w:val="99"/>
          <w:kern w:val="0"/>
          <w:sz w:val="28"/>
          <w:szCs w:val="28"/>
          <w:highlight w:val="none"/>
          <w:u w:val="single"/>
        </w:rPr>
        <w:t xml:space="preserve">      </w:t>
      </w:r>
      <w:r>
        <w:rPr>
          <w:rFonts w:hint="eastAsia" w:ascii="宋体" w:hAnsi="宋体"/>
          <w:color w:val="auto"/>
          <w:w w:val="99"/>
          <w:kern w:val="0"/>
          <w:sz w:val="28"/>
          <w:szCs w:val="28"/>
          <w:highlight w:val="none"/>
        </w:rPr>
        <w:t>年</w:t>
      </w:r>
      <w:r>
        <w:rPr>
          <w:rFonts w:hint="eastAsia" w:ascii="宋体" w:hAnsi="宋体"/>
          <w:color w:val="auto"/>
          <w:w w:val="99"/>
          <w:kern w:val="0"/>
          <w:sz w:val="28"/>
          <w:szCs w:val="28"/>
          <w:highlight w:val="none"/>
          <w:u w:val="single"/>
        </w:rPr>
        <w:t xml:space="preserve">    </w:t>
      </w:r>
      <w:r>
        <w:rPr>
          <w:rFonts w:hint="eastAsia" w:ascii="宋体" w:hAnsi="宋体"/>
          <w:color w:val="auto"/>
          <w:w w:val="99"/>
          <w:kern w:val="0"/>
          <w:sz w:val="28"/>
          <w:szCs w:val="28"/>
          <w:highlight w:val="none"/>
        </w:rPr>
        <w:t>月</w:t>
      </w:r>
      <w:r>
        <w:rPr>
          <w:rFonts w:hint="eastAsia" w:ascii="宋体" w:hAnsi="宋体"/>
          <w:color w:val="auto"/>
          <w:w w:val="99"/>
          <w:kern w:val="0"/>
          <w:sz w:val="28"/>
          <w:szCs w:val="28"/>
          <w:highlight w:val="none"/>
          <w:u w:val="single"/>
        </w:rPr>
        <w:t xml:space="preserve">    </w:t>
      </w:r>
      <w:r>
        <w:rPr>
          <w:rFonts w:hint="eastAsia" w:ascii="宋体" w:hAnsi="宋体"/>
          <w:color w:val="auto"/>
          <w:w w:val="99"/>
          <w:kern w:val="0"/>
          <w:sz w:val="28"/>
          <w:szCs w:val="28"/>
          <w:highlight w:val="none"/>
        </w:rPr>
        <w:t>日</w:t>
      </w:r>
      <w:bookmarkEnd w:id="77"/>
      <w:bookmarkEnd w:id="78"/>
      <w:bookmarkEnd w:id="79"/>
      <w:bookmarkEnd w:id="80"/>
      <w:bookmarkEnd w:id="81"/>
      <w:bookmarkEnd w:id="82"/>
      <w:bookmarkEnd w:id="83"/>
      <w:bookmarkEnd w:id="84"/>
      <w:bookmarkEnd w:id="85"/>
    </w:p>
    <w:p>
      <w:pPr>
        <w:jc w:val="center"/>
        <w:rPr>
          <w:rFonts w:hint="eastAsia"/>
          <w:color w:val="auto"/>
          <w:highlight w:val="none"/>
        </w:rPr>
      </w:pPr>
      <w:r>
        <w:rPr>
          <w:rFonts w:hint="eastAsia"/>
          <w:color w:val="auto"/>
          <w:highlight w:val="none"/>
        </w:rPr>
        <w:br w:type="page"/>
      </w:r>
      <w:r>
        <w:rPr>
          <w:rFonts w:hint="eastAsia"/>
          <w:color w:val="auto"/>
          <w:sz w:val="36"/>
          <w:szCs w:val="44"/>
          <w:highlight w:val="none"/>
        </w:rPr>
        <w:t>目  录</w:t>
      </w:r>
    </w:p>
    <w:p>
      <w:pPr>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rPr>
        <w:tab/>
      </w:r>
      <w:r>
        <w:rPr>
          <w:rFonts w:hint="eastAsia" w:ascii="宋体" w:hAnsi="宋体"/>
          <w:color w:val="auto"/>
          <w:szCs w:val="21"/>
          <w:highlight w:val="none"/>
        </w:rPr>
        <w:t>法定代表人身份证明及授权委托书</w:t>
      </w:r>
    </w:p>
    <w:p>
      <w:pPr>
        <w:rPr>
          <w:rFonts w:hint="default" w:ascii="宋体" w:hAnsi="宋体" w:eastAsia="宋体"/>
          <w:color w:val="auto"/>
          <w:szCs w:val="21"/>
          <w:highlight w:val="none"/>
          <w:lang w:val="en-US" w:eastAsia="zh-CN"/>
        </w:rPr>
      </w:pPr>
      <w:r>
        <w:rPr>
          <w:rFonts w:hint="eastAsia" w:ascii="宋体" w:hAnsi="宋体"/>
          <w:color w:val="auto"/>
          <w:szCs w:val="21"/>
          <w:highlight w:val="none"/>
        </w:rPr>
        <w:t>2.</w:t>
      </w:r>
      <w:r>
        <w:rPr>
          <w:rFonts w:hint="eastAsia" w:ascii="宋体" w:hAnsi="宋体"/>
          <w:color w:val="auto"/>
          <w:szCs w:val="21"/>
          <w:highlight w:val="none"/>
        </w:rPr>
        <w:tab/>
      </w:r>
      <w:r>
        <w:rPr>
          <w:rFonts w:hint="eastAsia" w:ascii="宋体" w:hAnsi="宋体"/>
          <w:color w:val="auto"/>
          <w:szCs w:val="21"/>
          <w:highlight w:val="none"/>
          <w:lang w:eastAsia="zh-CN"/>
        </w:rPr>
        <w:t>参选</w:t>
      </w:r>
      <w:r>
        <w:rPr>
          <w:rFonts w:hint="eastAsia" w:ascii="宋体" w:hAnsi="宋体"/>
          <w:color w:val="auto"/>
          <w:szCs w:val="21"/>
          <w:highlight w:val="none"/>
        </w:rPr>
        <w:t>人</w:t>
      </w:r>
      <w:r>
        <w:rPr>
          <w:rFonts w:hint="eastAsia" w:ascii="宋体" w:hAnsi="宋体"/>
          <w:color w:val="auto"/>
          <w:szCs w:val="21"/>
          <w:highlight w:val="none"/>
          <w:lang w:val="en-US" w:eastAsia="zh-CN"/>
        </w:rPr>
        <w:t>营业执照</w:t>
      </w:r>
    </w:p>
    <w:p>
      <w:pPr>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rPr>
        <w:tab/>
      </w:r>
      <w:r>
        <w:rPr>
          <w:rFonts w:hint="eastAsia" w:ascii="宋体" w:hAnsi="宋体"/>
          <w:color w:val="auto"/>
          <w:szCs w:val="21"/>
          <w:highlight w:val="none"/>
          <w:lang w:eastAsia="zh-CN"/>
        </w:rPr>
        <w:t>参选</w:t>
      </w:r>
      <w:r>
        <w:rPr>
          <w:rFonts w:hint="eastAsia" w:ascii="宋体" w:hAnsi="宋体"/>
          <w:color w:val="auto"/>
          <w:szCs w:val="21"/>
          <w:highlight w:val="none"/>
        </w:rPr>
        <w:t>截止日</w:t>
      </w:r>
      <w:r>
        <w:rPr>
          <w:rFonts w:hint="eastAsia" w:ascii="宋体" w:hAnsi="宋体"/>
          <w:color w:val="auto"/>
          <w:szCs w:val="21"/>
          <w:highlight w:val="none"/>
          <w:lang w:eastAsia="zh-CN"/>
        </w:rPr>
        <w:t>参选</w:t>
      </w:r>
      <w:r>
        <w:rPr>
          <w:rFonts w:hint="eastAsia" w:ascii="宋体" w:hAnsi="宋体"/>
          <w:color w:val="auto"/>
          <w:szCs w:val="21"/>
          <w:highlight w:val="none"/>
        </w:rPr>
        <w:t>资格情况</w:t>
      </w:r>
    </w:p>
    <w:p>
      <w:pPr>
        <w:rPr>
          <w:color w:val="auto"/>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rPr>
        <w:tab/>
      </w:r>
      <w:r>
        <w:rPr>
          <w:rFonts w:hint="eastAsia" w:ascii="宋体" w:hAnsi="宋体"/>
          <w:color w:val="auto"/>
          <w:szCs w:val="21"/>
          <w:highlight w:val="none"/>
        </w:rPr>
        <w:t>其他资料</w:t>
      </w:r>
      <w:r>
        <w:rPr>
          <w:rFonts w:ascii="宋体" w:hAnsi="宋体"/>
          <w:color w:val="auto"/>
          <w:szCs w:val="21"/>
          <w:highlight w:val="none"/>
        </w:rPr>
        <w:tab/>
      </w:r>
      <w:r>
        <w:rPr>
          <w:color w:val="auto"/>
          <w:highlight w:val="none"/>
        </w:rPr>
        <w:br w:type="page"/>
      </w:r>
    </w:p>
    <w:p>
      <w:pPr>
        <w:spacing w:after="260"/>
        <w:jc w:val="center"/>
        <w:outlineLvl w:val="2"/>
        <w:rPr>
          <w:rFonts w:ascii="宋体" w:hAnsi="宋体"/>
          <w:snapToGrid w:val="0"/>
          <w:color w:val="auto"/>
          <w:kern w:val="0"/>
          <w:szCs w:val="21"/>
          <w:highlight w:val="none"/>
        </w:rPr>
      </w:pPr>
      <w:bookmarkStart w:id="86" w:name="_Toc18837"/>
      <w:bookmarkStart w:id="87" w:name="_Toc42269747"/>
      <w:bookmarkStart w:id="88" w:name="_Toc23302"/>
      <w:bookmarkStart w:id="89" w:name="_Toc12182"/>
      <w:bookmarkStart w:id="90" w:name="_Toc277082659"/>
      <w:bookmarkStart w:id="91" w:name="_Toc287607887"/>
      <w:r>
        <w:rPr>
          <w:rFonts w:hint="eastAsia" w:ascii="宋体" w:hAnsi="宋体"/>
          <w:b/>
          <w:bCs/>
          <w:color w:val="auto"/>
          <w:sz w:val="32"/>
          <w:szCs w:val="32"/>
          <w:highlight w:val="none"/>
        </w:rPr>
        <w:t>1</w:t>
      </w:r>
      <w:r>
        <w:rPr>
          <w:rFonts w:hint="eastAsia" w:ascii="宋体" w:hAnsi="宋体"/>
          <w:color w:val="auto"/>
          <w:sz w:val="32"/>
          <w:szCs w:val="32"/>
          <w:highlight w:val="none"/>
        </w:rPr>
        <w:t>.</w:t>
      </w:r>
      <w:r>
        <w:rPr>
          <w:rFonts w:ascii="宋体" w:hAnsi="宋体"/>
          <w:b/>
          <w:bCs/>
          <w:color w:val="auto"/>
          <w:sz w:val="32"/>
          <w:szCs w:val="32"/>
          <w:highlight w:val="none"/>
        </w:rPr>
        <w:t>法</w:t>
      </w:r>
      <w:r>
        <w:rPr>
          <w:rFonts w:ascii="宋体" w:hAnsi="宋体"/>
          <w:b/>
          <w:bCs/>
          <w:color w:val="auto"/>
          <w:sz w:val="32"/>
          <w:szCs w:val="40"/>
          <w:highlight w:val="none"/>
        </w:rPr>
        <w:t>定代表人身份证明及授权委托书</w:t>
      </w:r>
    </w:p>
    <w:p>
      <w:pPr>
        <w:spacing w:line="480" w:lineRule="auto"/>
        <w:jc w:val="center"/>
        <w:rPr>
          <w:rFonts w:hint="eastAsia" w:ascii="宋体" w:hAnsi="宋体"/>
          <w:color w:val="auto"/>
          <w:sz w:val="28"/>
          <w:highlight w:val="none"/>
        </w:rPr>
      </w:pPr>
      <w:r>
        <w:rPr>
          <w:rFonts w:hint="eastAsia" w:ascii="宋体" w:hAnsi="宋体"/>
          <w:color w:val="auto"/>
          <w:sz w:val="28"/>
          <w:highlight w:val="none"/>
        </w:rPr>
        <w:t>法定代表人身份证明</w:t>
      </w:r>
    </w:p>
    <w:p>
      <w:pPr>
        <w:spacing w:line="480" w:lineRule="auto"/>
        <w:jc w:val="center"/>
        <w:rPr>
          <w:rFonts w:ascii="宋体" w:hAnsi="宋体"/>
          <w:color w:val="auto"/>
          <w:highlight w:val="none"/>
        </w:rPr>
      </w:pPr>
    </w:p>
    <w:p>
      <w:pPr>
        <w:tabs>
          <w:tab w:val="left" w:pos="5565"/>
        </w:tabs>
        <w:autoSpaceDE w:val="0"/>
        <w:autoSpaceDN w:val="0"/>
        <w:adjustRightInd w:val="0"/>
        <w:snapToGrid w:val="0"/>
        <w:spacing w:line="480" w:lineRule="auto"/>
        <w:ind w:firstLine="390" w:firstLineChars="186"/>
        <w:jc w:val="left"/>
        <w:rPr>
          <w:rFonts w:ascii="宋体" w:hAnsi="宋体"/>
          <w:color w:val="auto"/>
          <w:kern w:val="0"/>
          <w:szCs w:val="21"/>
          <w:highlight w:val="none"/>
        </w:rPr>
      </w:pPr>
      <w:r>
        <w:rPr>
          <w:rFonts w:hint="eastAsia" w:ascii="宋体" w:hAnsi="宋体"/>
          <w:color w:val="auto"/>
          <w:kern w:val="0"/>
          <w:szCs w:val="21"/>
          <w:highlight w:val="none"/>
          <w:lang w:eastAsia="zh-CN"/>
        </w:rPr>
        <w:t>参选</w:t>
      </w:r>
      <w:r>
        <w:rPr>
          <w:rFonts w:hint="eastAsia" w:ascii="宋体" w:hAnsi="宋体"/>
          <w:color w:val="auto"/>
          <w:kern w:val="0"/>
          <w:szCs w:val="21"/>
          <w:highlight w:val="none"/>
        </w:rPr>
        <w:t>人</w:t>
      </w:r>
      <w:r>
        <w:rPr>
          <w:rFonts w:ascii="宋体" w:hAnsi="宋体"/>
          <w:color w:val="auto"/>
          <w:kern w:val="0"/>
          <w:szCs w:val="21"/>
          <w:highlight w:val="none"/>
        </w:rPr>
        <w:t>名称：</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p>
    <w:p>
      <w:pPr>
        <w:tabs>
          <w:tab w:val="left" w:pos="5475"/>
        </w:tabs>
        <w:autoSpaceDE w:val="0"/>
        <w:autoSpaceDN w:val="0"/>
        <w:adjustRightInd w:val="0"/>
        <w:snapToGrid w:val="0"/>
        <w:spacing w:line="480" w:lineRule="auto"/>
        <w:ind w:firstLine="390" w:firstLineChars="186"/>
        <w:jc w:val="left"/>
        <w:rPr>
          <w:rFonts w:ascii="宋体" w:hAnsi="宋体"/>
          <w:color w:val="auto"/>
          <w:kern w:val="0"/>
          <w:szCs w:val="21"/>
          <w:highlight w:val="none"/>
        </w:rPr>
      </w:pPr>
      <w:r>
        <w:rPr>
          <w:rFonts w:ascii="宋体" w:hAnsi="宋体"/>
          <w:color w:val="auto"/>
          <w:kern w:val="0"/>
          <w:szCs w:val="21"/>
          <w:highlight w:val="none"/>
        </w:rPr>
        <w:t>单位性质：</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p>
    <w:p>
      <w:pPr>
        <w:tabs>
          <w:tab w:val="left" w:pos="5475"/>
        </w:tabs>
        <w:autoSpaceDE w:val="0"/>
        <w:autoSpaceDN w:val="0"/>
        <w:adjustRightInd w:val="0"/>
        <w:snapToGrid w:val="0"/>
        <w:spacing w:line="480" w:lineRule="auto"/>
        <w:ind w:firstLine="390" w:firstLineChars="186"/>
        <w:jc w:val="left"/>
        <w:rPr>
          <w:rFonts w:ascii="宋体" w:hAnsi="宋体"/>
          <w:color w:val="auto"/>
          <w:kern w:val="0"/>
          <w:szCs w:val="21"/>
          <w:highlight w:val="none"/>
        </w:rPr>
      </w:pPr>
      <w:r>
        <w:rPr>
          <w:rFonts w:ascii="宋体" w:hAnsi="宋体"/>
          <w:color w:val="auto"/>
          <w:kern w:val="0"/>
          <w:szCs w:val="21"/>
          <w:highlight w:val="none"/>
        </w:rPr>
        <w:t>地</w:t>
      </w:r>
      <w:r>
        <w:rPr>
          <w:rFonts w:hint="eastAsia" w:ascii="宋体" w:hAnsi="宋体"/>
          <w:color w:val="auto"/>
          <w:kern w:val="0"/>
          <w:szCs w:val="21"/>
          <w:highlight w:val="none"/>
        </w:rPr>
        <w:t xml:space="preserve">    </w:t>
      </w:r>
      <w:r>
        <w:rPr>
          <w:rFonts w:ascii="宋体" w:hAnsi="宋体"/>
          <w:color w:val="auto"/>
          <w:kern w:val="0"/>
          <w:szCs w:val="21"/>
          <w:highlight w:val="none"/>
        </w:rPr>
        <w:t>址：</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p>
    <w:p>
      <w:pPr>
        <w:tabs>
          <w:tab w:val="left" w:pos="2520"/>
          <w:tab w:val="left" w:pos="3836"/>
        </w:tabs>
        <w:autoSpaceDE w:val="0"/>
        <w:autoSpaceDN w:val="0"/>
        <w:adjustRightInd w:val="0"/>
        <w:snapToGrid w:val="0"/>
        <w:spacing w:line="480" w:lineRule="auto"/>
        <w:ind w:firstLine="390" w:firstLineChars="186"/>
        <w:jc w:val="left"/>
        <w:rPr>
          <w:rFonts w:ascii="宋体" w:hAnsi="宋体"/>
          <w:color w:val="auto"/>
          <w:kern w:val="0"/>
          <w:sz w:val="10"/>
          <w:szCs w:val="10"/>
          <w:highlight w:val="none"/>
        </w:rPr>
      </w:pPr>
      <w:r>
        <w:rPr>
          <w:rFonts w:ascii="宋体" w:hAnsi="宋体"/>
          <w:color w:val="auto"/>
          <w:kern w:val="0"/>
          <w:szCs w:val="21"/>
          <w:highlight w:val="none"/>
        </w:rPr>
        <w:t>成立时间：</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kern w:val="0"/>
          <w:szCs w:val="21"/>
          <w:highlight w:val="none"/>
        </w:rPr>
        <w:t>年</w:t>
      </w:r>
      <w:r>
        <w:rPr>
          <w:rFonts w:ascii="宋体" w:hAnsi="宋体"/>
          <w:color w:val="auto"/>
          <w:w w:val="200"/>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月</w:t>
      </w:r>
      <w:r>
        <w:rPr>
          <w:rFonts w:ascii="宋体" w:hAnsi="宋体"/>
          <w:color w:val="auto"/>
          <w:w w:val="200"/>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日</w:t>
      </w:r>
    </w:p>
    <w:p>
      <w:pPr>
        <w:tabs>
          <w:tab w:val="left" w:pos="5475"/>
        </w:tabs>
        <w:autoSpaceDE w:val="0"/>
        <w:autoSpaceDN w:val="0"/>
        <w:adjustRightInd w:val="0"/>
        <w:snapToGrid w:val="0"/>
        <w:spacing w:line="480" w:lineRule="auto"/>
        <w:ind w:firstLine="390" w:firstLineChars="186"/>
        <w:jc w:val="left"/>
        <w:rPr>
          <w:rFonts w:ascii="宋体" w:hAnsi="宋体"/>
          <w:color w:val="auto"/>
          <w:kern w:val="0"/>
          <w:szCs w:val="21"/>
          <w:highlight w:val="none"/>
        </w:rPr>
      </w:pPr>
      <w:r>
        <w:rPr>
          <w:rFonts w:ascii="宋体" w:hAnsi="宋体"/>
          <w:color w:val="auto"/>
          <w:kern w:val="0"/>
          <w:szCs w:val="21"/>
          <w:highlight w:val="none"/>
        </w:rPr>
        <w:t>经营期限：</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p>
    <w:p>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ascii="宋体" w:hAnsi="宋体"/>
          <w:color w:val="auto"/>
          <w:kern w:val="0"/>
          <w:szCs w:val="21"/>
          <w:highlight w:val="none"/>
        </w:rPr>
      </w:pPr>
      <w:r>
        <w:rPr>
          <w:rFonts w:ascii="宋体" w:hAnsi="宋体"/>
          <w:color w:val="auto"/>
          <w:kern w:val="0"/>
          <w:szCs w:val="21"/>
          <w:highlight w:val="none"/>
        </w:rPr>
        <w:t>姓名：</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kern w:val="0"/>
          <w:szCs w:val="21"/>
          <w:highlight w:val="none"/>
        </w:rPr>
        <w:t>性别</w:t>
      </w:r>
      <w:r>
        <w:rPr>
          <w:rFonts w:ascii="宋体" w:hAnsi="宋体"/>
          <w:color w:val="auto"/>
          <w:spacing w:val="-1"/>
          <w:kern w:val="0"/>
          <w:szCs w:val="21"/>
          <w:highlight w:val="none"/>
        </w:rPr>
        <w:t>：</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spacing w:val="-1"/>
          <w:kern w:val="0"/>
          <w:szCs w:val="21"/>
          <w:highlight w:val="none"/>
        </w:rPr>
        <w:t>年</w:t>
      </w:r>
      <w:r>
        <w:rPr>
          <w:rFonts w:ascii="宋体" w:hAnsi="宋体"/>
          <w:color w:val="auto"/>
          <w:kern w:val="0"/>
          <w:szCs w:val="21"/>
          <w:highlight w:val="none"/>
        </w:rPr>
        <w:t>龄：</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职务：</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p>
    <w:p>
      <w:pPr>
        <w:tabs>
          <w:tab w:val="left" w:pos="3360"/>
        </w:tabs>
        <w:autoSpaceDE w:val="0"/>
        <w:autoSpaceDN w:val="0"/>
        <w:adjustRightInd w:val="0"/>
        <w:snapToGrid w:val="0"/>
        <w:spacing w:line="480" w:lineRule="auto"/>
        <w:ind w:firstLine="390" w:firstLineChars="186"/>
        <w:jc w:val="left"/>
        <w:rPr>
          <w:rFonts w:ascii="宋体" w:hAnsi="宋体"/>
          <w:color w:val="auto"/>
          <w:kern w:val="0"/>
          <w:szCs w:val="21"/>
          <w:highlight w:val="none"/>
        </w:rPr>
      </w:pPr>
      <w:r>
        <w:rPr>
          <w:rFonts w:ascii="宋体" w:hAnsi="宋体"/>
          <w:color w:val="auto"/>
          <w:kern w:val="0"/>
          <w:szCs w:val="21"/>
          <w:highlight w:val="none"/>
        </w:rPr>
        <w:t>系</w:t>
      </w:r>
      <w:r>
        <w:rPr>
          <w:rFonts w:hint="eastAsia" w:ascii="宋体" w:hAnsi="宋体"/>
          <w:color w:val="auto"/>
          <w:kern w:val="0"/>
          <w:szCs w:val="21"/>
          <w:highlight w:val="none"/>
          <w:u w:val="single"/>
        </w:rPr>
        <w:t xml:space="preserve">                             </w:t>
      </w:r>
      <w:r>
        <w:rPr>
          <w:rFonts w:ascii="宋体" w:hAnsi="宋体"/>
          <w:color w:val="auto"/>
          <w:kern w:val="0"/>
          <w:szCs w:val="21"/>
          <w:highlight w:val="none"/>
        </w:rPr>
        <w:t>（</w:t>
      </w:r>
      <w:r>
        <w:rPr>
          <w:rFonts w:hint="eastAsia" w:ascii="宋体" w:hAnsi="宋体"/>
          <w:color w:val="auto"/>
          <w:kern w:val="0"/>
          <w:szCs w:val="21"/>
          <w:highlight w:val="none"/>
          <w:lang w:eastAsia="zh-CN"/>
        </w:rPr>
        <w:t>参选</w:t>
      </w:r>
      <w:r>
        <w:rPr>
          <w:rFonts w:hint="eastAsia" w:ascii="宋体" w:hAnsi="宋体"/>
          <w:color w:val="auto"/>
          <w:kern w:val="0"/>
          <w:szCs w:val="21"/>
          <w:highlight w:val="none"/>
        </w:rPr>
        <w:t>人</w:t>
      </w:r>
      <w:r>
        <w:rPr>
          <w:rFonts w:ascii="宋体" w:hAnsi="宋体"/>
          <w:color w:val="auto"/>
          <w:kern w:val="0"/>
          <w:szCs w:val="21"/>
          <w:highlight w:val="none"/>
        </w:rPr>
        <w:t>名称）的法定代表人。</w:t>
      </w:r>
    </w:p>
    <w:p>
      <w:pPr>
        <w:autoSpaceDE w:val="0"/>
        <w:autoSpaceDN w:val="0"/>
        <w:adjustRightInd w:val="0"/>
        <w:snapToGrid w:val="0"/>
        <w:spacing w:line="480" w:lineRule="auto"/>
        <w:ind w:firstLine="186" w:firstLineChars="186"/>
        <w:jc w:val="left"/>
        <w:rPr>
          <w:rFonts w:ascii="宋体" w:hAnsi="宋体"/>
          <w:color w:val="auto"/>
          <w:kern w:val="0"/>
          <w:sz w:val="10"/>
          <w:szCs w:val="10"/>
          <w:highlight w:val="none"/>
        </w:rPr>
      </w:pPr>
    </w:p>
    <w:p>
      <w:pPr>
        <w:autoSpaceDE w:val="0"/>
        <w:autoSpaceDN w:val="0"/>
        <w:adjustRightInd w:val="0"/>
        <w:snapToGrid w:val="0"/>
        <w:spacing w:line="480" w:lineRule="auto"/>
        <w:ind w:firstLine="810" w:firstLineChars="386"/>
        <w:jc w:val="left"/>
        <w:rPr>
          <w:rFonts w:hint="eastAsia" w:ascii="宋体" w:hAnsi="宋体"/>
          <w:color w:val="auto"/>
          <w:kern w:val="0"/>
          <w:szCs w:val="21"/>
          <w:highlight w:val="none"/>
        </w:rPr>
      </w:pPr>
      <w:r>
        <w:rPr>
          <w:rFonts w:ascii="宋体" w:hAnsi="宋体"/>
          <w:color w:val="auto"/>
          <w:kern w:val="0"/>
          <w:szCs w:val="21"/>
          <w:highlight w:val="none"/>
        </w:rPr>
        <w:t>特此证明。</w:t>
      </w:r>
    </w:p>
    <w:tbl>
      <w:tblPr>
        <w:tblStyle w:val="54"/>
        <w:tblpPr w:leftFromText="180" w:rightFromText="180" w:vertAnchor="text" w:horzAnchor="margin" w:tblpXSpec="center" w:tblpY="81"/>
        <w:tblW w:w="0" w:type="auto"/>
        <w:jc w:val="center"/>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5243"/>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PrEx>
        <w:trPr>
          <w:trHeight w:val="1867" w:hRule="atLeast"/>
          <w:jc w:val="center"/>
        </w:trPr>
        <w:tc>
          <w:tcPr>
            <w:tcW w:w="5243" w:type="dxa"/>
            <w:noWrap w:val="0"/>
            <w:vAlign w:val="top"/>
          </w:tcPr>
          <w:p>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法定代表人身份证复印件双面</w:t>
            </w:r>
          </w:p>
          <w:p>
            <w:pPr>
              <w:spacing w:line="360" w:lineRule="auto"/>
              <w:jc w:val="center"/>
              <w:rPr>
                <w:rFonts w:hint="eastAsia" w:ascii="宋体" w:hAnsi="宋体" w:cs="宋体"/>
                <w:b/>
                <w:color w:val="auto"/>
                <w:szCs w:val="21"/>
                <w:highlight w:val="none"/>
              </w:rPr>
            </w:pPr>
          </w:p>
        </w:tc>
      </w:tr>
    </w:tbl>
    <w:p>
      <w:pPr>
        <w:autoSpaceDE w:val="0"/>
        <w:autoSpaceDN w:val="0"/>
        <w:adjustRightInd w:val="0"/>
        <w:snapToGrid w:val="0"/>
        <w:spacing w:line="480" w:lineRule="auto"/>
        <w:ind w:firstLine="810" w:firstLineChars="386"/>
        <w:jc w:val="center"/>
        <w:rPr>
          <w:rFonts w:hint="eastAsia" w:ascii="宋体" w:hAnsi="宋体"/>
          <w:color w:val="auto"/>
          <w:kern w:val="0"/>
          <w:szCs w:val="21"/>
          <w:highlight w:val="none"/>
        </w:rPr>
      </w:pPr>
    </w:p>
    <w:p>
      <w:pPr>
        <w:autoSpaceDE w:val="0"/>
        <w:autoSpaceDN w:val="0"/>
        <w:adjustRightInd w:val="0"/>
        <w:snapToGrid w:val="0"/>
        <w:spacing w:line="480" w:lineRule="auto"/>
        <w:ind w:firstLine="810" w:firstLineChars="386"/>
        <w:jc w:val="left"/>
        <w:rPr>
          <w:rFonts w:hint="eastAsia" w:ascii="宋体" w:hAnsi="宋体"/>
          <w:color w:val="auto"/>
          <w:kern w:val="0"/>
          <w:szCs w:val="21"/>
          <w:highlight w:val="none"/>
        </w:rPr>
      </w:pPr>
    </w:p>
    <w:p>
      <w:pPr>
        <w:autoSpaceDE w:val="0"/>
        <w:autoSpaceDN w:val="0"/>
        <w:adjustRightInd w:val="0"/>
        <w:snapToGrid w:val="0"/>
        <w:spacing w:line="480" w:lineRule="auto"/>
        <w:ind w:firstLine="772" w:firstLineChars="386"/>
        <w:jc w:val="left"/>
        <w:rPr>
          <w:rFonts w:hint="eastAsia" w:ascii="宋体" w:hAnsi="宋体"/>
          <w:color w:val="auto"/>
          <w:kern w:val="0"/>
          <w:sz w:val="20"/>
          <w:szCs w:val="20"/>
          <w:highlight w:val="none"/>
        </w:rPr>
      </w:pPr>
    </w:p>
    <w:p>
      <w:pPr>
        <w:autoSpaceDE w:val="0"/>
        <w:autoSpaceDN w:val="0"/>
        <w:adjustRightInd w:val="0"/>
        <w:snapToGrid w:val="0"/>
        <w:spacing w:line="480" w:lineRule="auto"/>
        <w:jc w:val="left"/>
        <w:rPr>
          <w:rFonts w:ascii="宋体" w:hAnsi="宋体"/>
          <w:color w:val="auto"/>
          <w:kern w:val="0"/>
          <w:sz w:val="20"/>
          <w:szCs w:val="20"/>
          <w:highlight w:val="none"/>
        </w:rPr>
      </w:pPr>
    </w:p>
    <w:p>
      <w:pPr>
        <w:tabs>
          <w:tab w:val="left" w:pos="5460"/>
        </w:tabs>
        <w:autoSpaceDE w:val="0"/>
        <w:autoSpaceDN w:val="0"/>
        <w:adjustRightInd w:val="0"/>
        <w:snapToGrid w:val="0"/>
        <w:spacing w:line="480" w:lineRule="auto"/>
        <w:ind w:firstLine="2100"/>
        <w:jc w:val="right"/>
        <w:rPr>
          <w:rFonts w:hint="eastAsia" w:ascii="宋体" w:hAnsi="宋体"/>
          <w:color w:val="auto"/>
          <w:kern w:val="0"/>
          <w:szCs w:val="21"/>
          <w:highlight w:val="none"/>
        </w:rPr>
      </w:pPr>
    </w:p>
    <w:p>
      <w:pPr>
        <w:tabs>
          <w:tab w:val="left" w:pos="5460"/>
        </w:tabs>
        <w:autoSpaceDE w:val="0"/>
        <w:autoSpaceDN w:val="0"/>
        <w:adjustRightInd w:val="0"/>
        <w:snapToGrid w:val="0"/>
        <w:spacing w:line="480" w:lineRule="auto"/>
        <w:ind w:firstLine="2100"/>
        <w:jc w:val="right"/>
        <w:rPr>
          <w:rFonts w:ascii="宋体" w:hAnsi="宋体"/>
          <w:color w:val="auto"/>
          <w:kern w:val="0"/>
          <w:szCs w:val="21"/>
          <w:highlight w:val="none"/>
        </w:rPr>
      </w:pPr>
      <w:r>
        <w:rPr>
          <w:rFonts w:hint="eastAsia" w:ascii="宋体" w:hAnsi="宋体"/>
          <w:color w:val="auto"/>
          <w:kern w:val="0"/>
          <w:szCs w:val="21"/>
          <w:highlight w:val="none"/>
          <w:lang w:eastAsia="zh-CN"/>
        </w:rPr>
        <w:t>参选</w:t>
      </w:r>
      <w:r>
        <w:rPr>
          <w:rFonts w:hint="eastAsia" w:ascii="宋体" w:hAnsi="宋体"/>
          <w:color w:val="auto"/>
          <w:kern w:val="0"/>
          <w:szCs w:val="21"/>
          <w:highlight w:val="none"/>
        </w:rPr>
        <w:t>人</w:t>
      </w:r>
      <w:r>
        <w:rPr>
          <w:rFonts w:ascii="宋体" w:hAnsi="宋体"/>
          <w:color w:val="auto"/>
          <w:kern w:val="0"/>
          <w:szCs w:val="21"/>
          <w:highlight w:val="none"/>
        </w:rPr>
        <w:t>：</w:t>
      </w:r>
      <w:r>
        <w:rPr>
          <w:rFonts w:ascii="宋体" w:hAnsi="宋体"/>
          <w:color w:val="auto"/>
          <w:w w:val="200"/>
          <w:kern w:val="0"/>
          <w:szCs w:val="21"/>
          <w:highlight w:val="none"/>
          <w:u w:val="single"/>
        </w:rPr>
        <w:t xml:space="preserve">              </w:t>
      </w:r>
      <w:r>
        <w:rPr>
          <w:rFonts w:ascii="宋体" w:hAnsi="宋体"/>
          <w:color w:val="auto"/>
          <w:kern w:val="0"/>
          <w:szCs w:val="21"/>
          <w:highlight w:val="none"/>
          <w:u w:val="single"/>
        </w:rPr>
        <w:tab/>
      </w:r>
      <w:r>
        <w:rPr>
          <w:rFonts w:ascii="宋体" w:hAnsi="宋体"/>
          <w:color w:val="auto"/>
          <w:spacing w:val="-1"/>
          <w:kern w:val="0"/>
          <w:szCs w:val="21"/>
          <w:highlight w:val="none"/>
        </w:rPr>
        <w:t>（</w:t>
      </w:r>
      <w:r>
        <w:rPr>
          <w:rFonts w:ascii="宋体" w:hAnsi="宋体"/>
          <w:color w:val="auto"/>
          <w:kern w:val="0"/>
          <w:szCs w:val="21"/>
          <w:highlight w:val="none"/>
        </w:rPr>
        <w:t>盖单位</w:t>
      </w:r>
      <w:r>
        <w:rPr>
          <w:rFonts w:hint="eastAsia" w:ascii="宋体" w:hAnsi="宋体"/>
          <w:color w:val="auto"/>
          <w:kern w:val="0"/>
          <w:szCs w:val="21"/>
          <w:highlight w:val="none"/>
        </w:rPr>
        <w:t>公</w:t>
      </w:r>
      <w:r>
        <w:rPr>
          <w:rFonts w:ascii="宋体" w:hAnsi="宋体"/>
          <w:color w:val="auto"/>
          <w:kern w:val="0"/>
          <w:szCs w:val="21"/>
          <w:highlight w:val="none"/>
        </w:rPr>
        <w:t>章）</w:t>
      </w:r>
    </w:p>
    <w:p>
      <w:pPr>
        <w:autoSpaceDE w:val="0"/>
        <w:autoSpaceDN w:val="0"/>
        <w:adjustRightInd w:val="0"/>
        <w:snapToGrid w:val="0"/>
        <w:spacing w:line="480" w:lineRule="auto"/>
        <w:jc w:val="left"/>
        <w:rPr>
          <w:rFonts w:ascii="宋体" w:hAnsi="宋体"/>
          <w:color w:val="auto"/>
          <w:kern w:val="0"/>
          <w:sz w:val="20"/>
          <w:szCs w:val="20"/>
          <w:highlight w:val="none"/>
        </w:rPr>
      </w:pPr>
    </w:p>
    <w:p>
      <w:pPr>
        <w:tabs>
          <w:tab w:val="left" w:pos="4935"/>
          <w:tab w:val="left" w:pos="5460"/>
          <w:tab w:val="left" w:pos="6400"/>
        </w:tabs>
        <w:wordWrap w:val="0"/>
        <w:autoSpaceDE w:val="0"/>
        <w:autoSpaceDN w:val="0"/>
        <w:adjustRightInd w:val="0"/>
        <w:snapToGrid w:val="0"/>
        <w:spacing w:line="480" w:lineRule="auto"/>
        <w:ind w:firstLine="3780"/>
        <w:jc w:val="right"/>
        <w:rPr>
          <w:rFonts w:hint="eastAsia" w:ascii="宋体" w:hAnsi="宋体"/>
          <w:color w:val="auto"/>
          <w:kern w:val="0"/>
          <w:szCs w:val="21"/>
          <w:highlight w:val="none"/>
        </w:rPr>
      </w:pPr>
      <w:r>
        <w:rPr>
          <w:rFonts w:hint="eastAsia" w:ascii="宋体" w:hAnsi="宋体"/>
          <w:color w:val="auto"/>
          <w:w w:val="200"/>
          <w:kern w:val="0"/>
          <w:szCs w:val="21"/>
          <w:highlight w:val="none"/>
          <w:u w:val="single"/>
        </w:rPr>
        <w:t xml:space="preserve">      </w:t>
      </w:r>
      <w:r>
        <w:rPr>
          <w:rFonts w:ascii="宋体" w:hAnsi="宋体"/>
          <w:color w:val="auto"/>
          <w:kern w:val="0"/>
          <w:szCs w:val="21"/>
          <w:highlight w:val="none"/>
        </w:rPr>
        <w:t>年</w:t>
      </w:r>
      <w:r>
        <w:rPr>
          <w:rFonts w:ascii="宋体" w:hAnsi="宋体"/>
          <w:color w:val="auto"/>
          <w:w w:val="200"/>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月</w:t>
      </w:r>
      <w:r>
        <w:rPr>
          <w:rFonts w:ascii="宋体" w:hAnsi="宋体"/>
          <w:color w:val="auto"/>
          <w:w w:val="200"/>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日</w:t>
      </w:r>
      <w:r>
        <w:rPr>
          <w:rFonts w:hint="eastAsia" w:ascii="宋体" w:hAnsi="宋体"/>
          <w:color w:val="auto"/>
          <w:kern w:val="0"/>
          <w:szCs w:val="21"/>
          <w:highlight w:val="none"/>
        </w:rPr>
        <w:t xml:space="preserve">  </w:t>
      </w:r>
    </w:p>
    <w:p>
      <w:pPr>
        <w:autoSpaceDE w:val="0"/>
        <w:autoSpaceDN w:val="0"/>
        <w:adjustRightInd w:val="0"/>
        <w:snapToGrid w:val="0"/>
        <w:spacing w:line="360" w:lineRule="auto"/>
        <w:jc w:val="left"/>
        <w:rPr>
          <w:rFonts w:ascii="宋体" w:hAnsi="宋体"/>
          <w:color w:val="auto"/>
          <w:kern w:val="0"/>
          <w:highlight w:val="none"/>
        </w:rPr>
      </w:pPr>
    </w:p>
    <w:p>
      <w:pPr>
        <w:autoSpaceDE w:val="0"/>
        <w:autoSpaceDN w:val="0"/>
        <w:adjustRightInd w:val="0"/>
        <w:snapToGrid w:val="0"/>
        <w:spacing w:line="360" w:lineRule="auto"/>
        <w:jc w:val="left"/>
        <w:rPr>
          <w:rFonts w:ascii="宋体" w:hAnsi="宋体"/>
          <w:color w:val="auto"/>
          <w:kern w:val="0"/>
          <w:highlight w:val="none"/>
        </w:rPr>
      </w:pPr>
    </w:p>
    <w:p>
      <w:pPr>
        <w:spacing w:line="360" w:lineRule="auto"/>
        <w:ind w:firstLine="420" w:firstLineChars="200"/>
        <w:rPr>
          <w:rFonts w:ascii="宋体" w:hAnsi="宋体"/>
          <w:color w:val="auto"/>
          <w:highlight w:val="none"/>
        </w:rPr>
      </w:pPr>
      <w:r>
        <w:rPr>
          <w:rFonts w:ascii="宋体" w:hAnsi="宋体"/>
          <w:color w:val="auto"/>
          <w:highlight w:val="none"/>
        </w:rPr>
        <w:t>注：法定代表人身份证明需按上述格式填写完整，不可缺少内容。在此基础上增加内容的不影响其有效性。</w:t>
      </w:r>
    </w:p>
    <w:p>
      <w:pPr>
        <w:autoSpaceDE w:val="0"/>
        <w:autoSpaceDN w:val="0"/>
        <w:adjustRightInd w:val="0"/>
        <w:snapToGrid w:val="0"/>
        <w:spacing w:line="360" w:lineRule="auto"/>
        <w:jc w:val="left"/>
        <w:rPr>
          <w:rFonts w:ascii="宋体" w:hAnsi="宋体"/>
          <w:color w:val="auto"/>
          <w:kern w:val="0"/>
          <w:highlight w:val="none"/>
        </w:rPr>
      </w:pPr>
    </w:p>
    <w:p>
      <w:pPr>
        <w:autoSpaceDE w:val="0"/>
        <w:autoSpaceDN w:val="0"/>
        <w:adjustRightInd w:val="0"/>
        <w:snapToGrid w:val="0"/>
        <w:spacing w:line="360" w:lineRule="auto"/>
        <w:jc w:val="left"/>
        <w:rPr>
          <w:rFonts w:ascii="宋体" w:hAnsi="宋体"/>
          <w:color w:val="auto"/>
          <w:kern w:val="0"/>
          <w:highlight w:val="none"/>
        </w:rPr>
      </w:pPr>
    </w:p>
    <w:p>
      <w:pPr>
        <w:tabs>
          <w:tab w:val="left" w:pos="1680"/>
          <w:tab w:val="left" w:pos="4215"/>
          <w:tab w:val="left" w:pos="4305"/>
          <w:tab w:val="left" w:pos="8000"/>
        </w:tabs>
        <w:autoSpaceDE w:val="0"/>
        <w:autoSpaceDN w:val="0"/>
        <w:adjustRightInd w:val="0"/>
        <w:snapToGrid w:val="0"/>
        <w:spacing w:line="360" w:lineRule="auto"/>
        <w:jc w:val="center"/>
        <w:rPr>
          <w:rFonts w:ascii="宋体" w:hAnsi="宋体"/>
          <w:color w:val="auto"/>
          <w:kern w:val="0"/>
          <w:sz w:val="12"/>
          <w:szCs w:val="12"/>
          <w:highlight w:val="none"/>
        </w:rPr>
      </w:pPr>
      <w:r>
        <w:rPr>
          <w:rFonts w:ascii="宋体" w:hAnsi="宋体"/>
          <w:b/>
          <w:color w:val="auto"/>
          <w:kern w:val="0"/>
          <w:sz w:val="28"/>
          <w:szCs w:val="28"/>
          <w:highlight w:val="none"/>
        </w:rPr>
        <w:br w:type="page"/>
      </w:r>
      <w:r>
        <w:rPr>
          <w:rFonts w:ascii="宋体" w:hAnsi="宋体"/>
          <w:snapToGrid w:val="0"/>
          <w:color w:val="auto"/>
          <w:kern w:val="0"/>
          <w:sz w:val="32"/>
          <w:szCs w:val="32"/>
          <w:highlight w:val="none"/>
        </w:rPr>
        <w:t>授权委托书</w:t>
      </w:r>
    </w:p>
    <w:p>
      <w:pPr>
        <w:autoSpaceDE w:val="0"/>
        <w:autoSpaceDN w:val="0"/>
        <w:adjustRightInd w:val="0"/>
        <w:snapToGrid w:val="0"/>
        <w:spacing w:line="360" w:lineRule="auto"/>
        <w:jc w:val="left"/>
        <w:rPr>
          <w:rFonts w:ascii="宋体" w:hAnsi="宋体"/>
          <w:color w:val="auto"/>
          <w:kern w:val="0"/>
          <w:sz w:val="20"/>
          <w:szCs w:val="20"/>
          <w:highlight w:val="none"/>
        </w:rPr>
      </w:pPr>
    </w:p>
    <w:p>
      <w:pPr>
        <w:autoSpaceDE w:val="0"/>
        <w:autoSpaceDN w:val="0"/>
        <w:adjustRightInd w:val="0"/>
        <w:snapToGrid w:val="0"/>
        <w:spacing w:line="360" w:lineRule="auto"/>
        <w:jc w:val="left"/>
        <w:rPr>
          <w:rFonts w:ascii="宋体" w:hAnsi="宋体"/>
          <w:color w:val="auto"/>
          <w:kern w:val="0"/>
          <w:sz w:val="20"/>
          <w:szCs w:val="20"/>
          <w:highlight w:val="none"/>
        </w:rPr>
      </w:pPr>
    </w:p>
    <w:p>
      <w:pPr>
        <w:tabs>
          <w:tab w:val="left" w:pos="1680"/>
          <w:tab w:val="left" w:pos="4215"/>
          <w:tab w:val="left" w:pos="4305"/>
          <w:tab w:val="left" w:pos="8000"/>
        </w:tabs>
        <w:autoSpaceDE w:val="0"/>
        <w:autoSpaceDN w:val="0"/>
        <w:adjustRightInd w:val="0"/>
        <w:snapToGrid w:val="0"/>
        <w:spacing w:line="480" w:lineRule="auto"/>
        <w:ind w:firstLine="420"/>
        <w:rPr>
          <w:rFonts w:ascii="宋体" w:hAnsi="宋体"/>
          <w:color w:val="auto"/>
          <w:kern w:val="0"/>
          <w:szCs w:val="21"/>
          <w:highlight w:val="none"/>
        </w:rPr>
      </w:pPr>
      <w:r>
        <w:rPr>
          <w:rFonts w:ascii="宋体" w:hAnsi="宋体"/>
          <w:color w:val="auto"/>
          <w:kern w:val="0"/>
          <w:szCs w:val="21"/>
          <w:highlight w:val="none"/>
        </w:rPr>
        <w:t>本人</w:t>
      </w:r>
      <w:r>
        <w:rPr>
          <w:rFonts w:ascii="宋体" w:hAnsi="宋体"/>
          <w:color w:val="auto"/>
          <w:w w:val="200"/>
          <w:kern w:val="0"/>
          <w:szCs w:val="21"/>
          <w:highlight w:val="none"/>
          <w:u w:val="single"/>
        </w:rPr>
        <w:t xml:space="preserve">   </w:t>
      </w:r>
      <w:r>
        <w:rPr>
          <w:rFonts w:ascii="宋体" w:hAnsi="宋体"/>
          <w:color w:val="auto"/>
          <w:kern w:val="0"/>
          <w:szCs w:val="21"/>
          <w:highlight w:val="none"/>
        </w:rPr>
        <w:t>（姓名）系</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kern w:val="0"/>
          <w:szCs w:val="21"/>
          <w:highlight w:val="none"/>
        </w:rPr>
        <w:t>（</w:t>
      </w:r>
      <w:r>
        <w:rPr>
          <w:rFonts w:hint="eastAsia" w:ascii="宋体" w:hAnsi="宋体"/>
          <w:color w:val="auto"/>
          <w:kern w:val="0"/>
          <w:szCs w:val="21"/>
          <w:highlight w:val="none"/>
          <w:lang w:eastAsia="zh-CN"/>
        </w:rPr>
        <w:t>参选</w:t>
      </w:r>
      <w:r>
        <w:rPr>
          <w:rFonts w:hint="eastAsia" w:ascii="宋体" w:hAnsi="宋体"/>
          <w:color w:val="auto"/>
          <w:kern w:val="0"/>
          <w:szCs w:val="21"/>
          <w:highlight w:val="none"/>
        </w:rPr>
        <w:t>人</w:t>
      </w:r>
      <w:r>
        <w:rPr>
          <w:rFonts w:ascii="宋体" w:hAnsi="宋体"/>
          <w:color w:val="auto"/>
          <w:kern w:val="0"/>
          <w:szCs w:val="21"/>
          <w:highlight w:val="none"/>
        </w:rPr>
        <w:t>名称</w:t>
      </w:r>
      <w:r>
        <w:rPr>
          <w:rFonts w:ascii="宋体" w:hAnsi="宋体"/>
          <w:color w:val="auto"/>
          <w:spacing w:val="1"/>
          <w:kern w:val="0"/>
          <w:szCs w:val="21"/>
          <w:highlight w:val="none"/>
        </w:rPr>
        <w:t>）</w:t>
      </w:r>
      <w:r>
        <w:rPr>
          <w:rFonts w:ascii="宋体" w:hAnsi="宋体"/>
          <w:color w:val="auto"/>
          <w:kern w:val="0"/>
          <w:szCs w:val="21"/>
          <w:highlight w:val="none"/>
        </w:rPr>
        <w:t>的法定代</w:t>
      </w:r>
      <w:r>
        <w:rPr>
          <w:rFonts w:ascii="宋体" w:hAnsi="宋体"/>
          <w:color w:val="auto"/>
          <w:spacing w:val="1"/>
          <w:kern w:val="0"/>
          <w:szCs w:val="21"/>
          <w:highlight w:val="none"/>
        </w:rPr>
        <w:t>表</w:t>
      </w:r>
      <w:r>
        <w:rPr>
          <w:rFonts w:ascii="宋体" w:hAnsi="宋体"/>
          <w:color w:val="auto"/>
          <w:kern w:val="0"/>
          <w:szCs w:val="21"/>
          <w:highlight w:val="none"/>
        </w:rPr>
        <w:t>人，现委托</w:t>
      </w:r>
      <w:r>
        <w:rPr>
          <w:rFonts w:ascii="宋体" w:hAnsi="宋体"/>
          <w:color w:val="auto"/>
          <w:w w:val="200"/>
          <w:kern w:val="0"/>
          <w:szCs w:val="21"/>
          <w:highlight w:val="none"/>
          <w:u w:val="single"/>
        </w:rPr>
        <w:t xml:space="preserve">    </w:t>
      </w:r>
      <w:r>
        <w:rPr>
          <w:rFonts w:ascii="宋体" w:hAnsi="宋体"/>
          <w:color w:val="auto"/>
          <w:kern w:val="0"/>
          <w:szCs w:val="21"/>
          <w:highlight w:val="none"/>
        </w:rPr>
        <w:t>（姓名）为我方代理人。代理人根据授权，以我方名义签署、递交、撤回、修改</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ascii="宋体" w:hAnsi="宋体"/>
          <w:color w:val="auto"/>
          <w:kern w:val="0"/>
          <w:szCs w:val="21"/>
          <w:highlight w:val="none"/>
        </w:rPr>
        <w:t>（项</w:t>
      </w:r>
      <w:r>
        <w:rPr>
          <w:rFonts w:ascii="宋体" w:hAnsi="宋体"/>
          <w:color w:val="auto"/>
          <w:spacing w:val="-1"/>
          <w:kern w:val="0"/>
          <w:szCs w:val="21"/>
          <w:highlight w:val="none"/>
        </w:rPr>
        <w:t>目</w:t>
      </w:r>
      <w:r>
        <w:rPr>
          <w:rFonts w:ascii="宋体" w:hAnsi="宋体"/>
          <w:color w:val="auto"/>
          <w:kern w:val="0"/>
          <w:szCs w:val="21"/>
          <w:highlight w:val="none"/>
        </w:rPr>
        <w:t>名称）</w:t>
      </w:r>
      <w:r>
        <w:rPr>
          <w:rFonts w:hint="eastAsia" w:ascii="宋体" w:hAnsi="宋体"/>
          <w:color w:val="auto"/>
          <w:kern w:val="0"/>
          <w:szCs w:val="21"/>
          <w:highlight w:val="none"/>
          <w:lang w:eastAsia="zh-CN"/>
        </w:rPr>
        <w:t>参选</w:t>
      </w:r>
      <w:r>
        <w:rPr>
          <w:rFonts w:hint="eastAsia" w:ascii="宋体" w:hAnsi="宋体"/>
          <w:color w:val="auto"/>
          <w:kern w:val="0"/>
          <w:szCs w:val="21"/>
          <w:highlight w:val="none"/>
        </w:rPr>
        <w:t>文件</w:t>
      </w:r>
      <w:r>
        <w:rPr>
          <w:rFonts w:ascii="宋体" w:hAnsi="宋体"/>
          <w:color w:val="auto"/>
          <w:kern w:val="0"/>
          <w:szCs w:val="21"/>
          <w:highlight w:val="none"/>
        </w:rPr>
        <w:t>、</w:t>
      </w:r>
      <w:r>
        <w:rPr>
          <w:rFonts w:hint="eastAsia" w:ascii="宋体" w:hAnsi="宋体"/>
          <w:color w:val="auto"/>
          <w:kern w:val="0"/>
          <w:szCs w:val="21"/>
          <w:highlight w:val="none"/>
        </w:rPr>
        <w:t>领取原件、</w:t>
      </w:r>
      <w:r>
        <w:rPr>
          <w:rFonts w:ascii="宋体" w:hAnsi="宋体"/>
          <w:color w:val="auto"/>
          <w:kern w:val="0"/>
          <w:szCs w:val="21"/>
          <w:highlight w:val="none"/>
        </w:rPr>
        <w:t>签订合同和处理有关事宜， 其法律后果由我方承担。</w:t>
      </w:r>
    </w:p>
    <w:p>
      <w:pPr>
        <w:tabs>
          <w:tab w:val="left" w:pos="1680"/>
          <w:tab w:val="left" w:pos="4215"/>
          <w:tab w:val="left" w:pos="4305"/>
          <w:tab w:val="left" w:pos="8000"/>
        </w:tabs>
        <w:autoSpaceDE w:val="0"/>
        <w:autoSpaceDN w:val="0"/>
        <w:adjustRightInd w:val="0"/>
        <w:snapToGrid w:val="0"/>
        <w:spacing w:line="480" w:lineRule="auto"/>
        <w:ind w:firstLine="420"/>
        <w:rPr>
          <w:rFonts w:ascii="宋体" w:hAnsi="宋体"/>
          <w:color w:val="auto"/>
          <w:kern w:val="0"/>
          <w:szCs w:val="21"/>
          <w:highlight w:val="none"/>
        </w:rPr>
      </w:pPr>
      <w:r>
        <w:rPr>
          <w:rFonts w:ascii="宋体" w:hAnsi="宋体"/>
          <w:color w:val="auto"/>
          <w:kern w:val="0"/>
          <w:szCs w:val="21"/>
          <w:highlight w:val="none"/>
        </w:rPr>
        <w:t>委托</w:t>
      </w:r>
      <w:r>
        <w:rPr>
          <w:rFonts w:ascii="宋体" w:hAnsi="宋体"/>
          <w:color w:val="auto"/>
          <w:spacing w:val="-1"/>
          <w:kern w:val="0"/>
          <w:szCs w:val="21"/>
          <w:highlight w:val="none"/>
        </w:rPr>
        <w:t>期</w:t>
      </w:r>
      <w:r>
        <w:rPr>
          <w:rFonts w:ascii="宋体" w:hAnsi="宋体"/>
          <w:color w:val="auto"/>
          <w:kern w:val="0"/>
          <w:szCs w:val="21"/>
          <w:highlight w:val="none"/>
        </w:rPr>
        <w:t>限：</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kern w:val="0"/>
          <w:szCs w:val="21"/>
          <w:highlight w:val="none"/>
          <w:u w:val="single"/>
        </w:rPr>
        <w:tab/>
      </w:r>
      <w:r>
        <w:rPr>
          <w:rFonts w:ascii="宋体" w:hAnsi="宋体"/>
          <w:color w:val="auto"/>
          <w:kern w:val="0"/>
          <w:szCs w:val="21"/>
          <w:highlight w:val="none"/>
        </w:rPr>
        <w:t xml:space="preserve">。 </w:t>
      </w:r>
    </w:p>
    <w:p>
      <w:pPr>
        <w:tabs>
          <w:tab w:val="left" w:pos="1680"/>
          <w:tab w:val="left" w:pos="4215"/>
          <w:tab w:val="left" w:pos="4305"/>
          <w:tab w:val="left" w:pos="8000"/>
        </w:tabs>
        <w:autoSpaceDE w:val="0"/>
        <w:autoSpaceDN w:val="0"/>
        <w:adjustRightInd w:val="0"/>
        <w:snapToGrid w:val="0"/>
        <w:spacing w:line="480" w:lineRule="auto"/>
        <w:ind w:firstLine="420"/>
        <w:rPr>
          <w:rFonts w:ascii="宋体" w:hAnsi="宋体"/>
          <w:color w:val="auto"/>
          <w:kern w:val="0"/>
          <w:sz w:val="20"/>
          <w:szCs w:val="20"/>
          <w:highlight w:val="none"/>
        </w:rPr>
      </w:pPr>
      <w:r>
        <w:rPr>
          <w:rFonts w:ascii="宋体" w:hAnsi="宋体"/>
          <w:color w:val="auto"/>
          <w:kern w:val="0"/>
          <w:szCs w:val="21"/>
          <w:highlight w:val="none"/>
        </w:rPr>
        <w:t>代理人无转委托权。</w:t>
      </w:r>
    </w:p>
    <w:p>
      <w:pPr>
        <w:tabs>
          <w:tab w:val="left" w:pos="4200"/>
          <w:tab w:val="left" w:pos="4620"/>
        </w:tabs>
        <w:autoSpaceDE w:val="0"/>
        <w:autoSpaceDN w:val="0"/>
        <w:adjustRightInd w:val="0"/>
        <w:snapToGrid w:val="0"/>
        <w:spacing w:line="48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eastAsia="zh-CN"/>
        </w:rPr>
        <w:t>参选</w:t>
      </w:r>
      <w:r>
        <w:rPr>
          <w:rFonts w:hint="eastAsia" w:ascii="宋体" w:hAnsi="宋体"/>
          <w:color w:val="auto"/>
          <w:kern w:val="0"/>
          <w:szCs w:val="21"/>
          <w:highlight w:val="none"/>
        </w:rPr>
        <w:t>人</w:t>
      </w:r>
      <w:r>
        <w:rPr>
          <w:rFonts w:ascii="宋体" w:hAnsi="宋体"/>
          <w:color w:val="auto"/>
          <w:kern w:val="0"/>
          <w:szCs w:val="21"/>
          <w:highlight w:val="none"/>
        </w:rPr>
        <w:t>：</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ascii="宋体" w:hAnsi="宋体"/>
          <w:color w:val="auto"/>
          <w:kern w:val="0"/>
          <w:szCs w:val="21"/>
          <w:highlight w:val="none"/>
        </w:rPr>
        <w:t>（</w:t>
      </w:r>
      <w:r>
        <w:rPr>
          <w:rFonts w:ascii="宋体" w:hAnsi="宋体"/>
          <w:color w:val="auto"/>
          <w:spacing w:val="-1"/>
          <w:kern w:val="0"/>
          <w:szCs w:val="21"/>
          <w:highlight w:val="none"/>
        </w:rPr>
        <w:t>盖单位</w:t>
      </w:r>
      <w:r>
        <w:rPr>
          <w:rFonts w:hint="eastAsia" w:ascii="宋体" w:hAnsi="宋体"/>
          <w:color w:val="auto"/>
          <w:spacing w:val="-1"/>
          <w:kern w:val="0"/>
          <w:szCs w:val="21"/>
          <w:highlight w:val="none"/>
        </w:rPr>
        <w:t>公</w:t>
      </w:r>
      <w:r>
        <w:rPr>
          <w:rFonts w:ascii="宋体" w:hAnsi="宋体"/>
          <w:color w:val="auto"/>
          <w:spacing w:val="-1"/>
          <w:kern w:val="0"/>
          <w:szCs w:val="21"/>
          <w:highlight w:val="none"/>
        </w:rPr>
        <w:t>章</w:t>
      </w:r>
      <w:r>
        <w:rPr>
          <w:rFonts w:ascii="宋体" w:hAnsi="宋体"/>
          <w:color w:val="auto"/>
          <w:kern w:val="0"/>
          <w:szCs w:val="21"/>
          <w:highlight w:val="none"/>
        </w:rPr>
        <w:t>）</w:t>
      </w:r>
    </w:p>
    <w:p>
      <w:pPr>
        <w:tabs>
          <w:tab w:val="left" w:pos="6300"/>
        </w:tabs>
        <w:autoSpaceDE w:val="0"/>
        <w:autoSpaceDN w:val="0"/>
        <w:adjustRightInd w:val="0"/>
        <w:snapToGrid w:val="0"/>
        <w:spacing w:line="48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法定代表人：</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kern w:val="0"/>
          <w:szCs w:val="21"/>
          <w:highlight w:val="none"/>
        </w:rPr>
        <w:t>（签字或盖章）</w:t>
      </w:r>
    </w:p>
    <w:p>
      <w:pPr>
        <w:tabs>
          <w:tab w:val="left" w:pos="5260"/>
        </w:tabs>
        <w:autoSpaceDE w:val="0"/>
        <w:autoSpaceDN w:val="0"/>
        <w:adjustRightInd w:val="0"/>
        <w:snapToGrid w:val="0"/>
        <w:spacing w:line="480" w:lineRule="auto"/>
        <w:ind w:firstLine="420" w:firstLineChars="200"/>
        <w:jc w:val="left"/>
        <w:rPr>
          <w:rFonts w:hint="eastAsia" w:ascii="宋体" w:hAnsi="宋体"/>
          <w:color w:val="auto"/>
          <w:kern w:val="0"/>
          <w:szCs w:val="21"/>
          <w:highlight w:val="none"/>
          <w:u w:val="single"/>
        </w:rPr>
      </w:pPr>
      <w:r>
        <w:rPr>
          <w:rFonts w:ascii="宋体" w:hAnsi="宋体"/>
          <w:color w:val="auto"/>
          <w:kern w:val="0"/>
          <w:szCs w:val="21"/>
          <w:highlight w:val="none"/>
        </w:rPr>
        <w:t>身份证号码：</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p>
    <w:p>
      <w:pPr>
        <w:tabs>
          <w:tab w:val="left" w:pos="5260"/>
        </w:tabs>
        <w:autoSpaceDE w:val="0"/>
        <w:autoSpaceDN w:val="0"/>
        <w:adjustRightInd w:val="0"/>
        <w:snapToGrid w:val="0"/>
        <w:spacing w:line="48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委托代理人：</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ascii="宋体" w:hAnsi="宋体"/>
          <w:color w:val="auto"/>
          <w:kern w:val="0"/>
          <w:szCs w:val="21"/>
          <w:highlight w:val="none"/>
        </w:rPr>
        <w:t>（签</w:t>
      </w:r>
      <w:r>
        <w:rPr>
          <w:rFonts w:ascii="宋体" w:hAnsi="宋体"/>
          <w:color w:val="auto"/>
          <w:spacing w:val="-1"/>
          <w:kern w:val="0"/>
          <w:szCs w:val="21"/>
          <w:highlight w:val="none"/>
        </w:rPr>
        <w:t>字</w:t>
      </w:r>
      <w:r>
        <w:rPr>
          <w:rFonts w:ascii="宋体" w:hAnsi="宋体"/>
          <w:color w:val="auto"/>
          <w:kern w:val="0"/>
          <w:szCs w:val="21"/>
          <w:highlight w:val="none"/>
        </w:rPr>
        <w:t>）</w:t>
      </w:r>
    </w:p>
    <w:p>
      <w:pPr>
        <w:tabs>
          <w:tab w:val="left" w:pos="6825"/>
        </w:tabs>
        <w:autoSpaceDE w:val="0"/>
        <w:autoSpaceDN w:val="0"/>
        <w:adjustRightInd w:val="0"/>
        <w:snapToGrid w:val="0"/>
        <w:spacing w:line="480" w:lineRule="auto"/>
        <w:ind w:firstLine="420" w:firstLineChars="200"/>
        <w:jc w:val="left"/>
        <w:rPr>
          <w:rFonts w:ascii="宋体" w:hAnsi="宋体"/>
          <w:color w:val="auto"/>
          <w:kern w:val="0"/>
          <w:szCs w:val="21"/>
          <w:highlight w:val="none"/>
        </w:rPr>
      </w:pPr>
      <w:r>
        <w:rPr>
          <w:rFonts w:ascii="宋体" w:hAnsi="宋体"/>
          <w:color w:val="auto"/>
          <w:kern w:val="0"/>
          <w:szCs w:val="21"/>
          <w:highlight w:val="none"/>
        </w:rPr>
        <w:t>身份证号码：</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w w:val="200"/>
          <w:kern w:val="0"/>
          <w:szCs w:val="21"/>
          <w:highlight w:val="none"/>
          <w:u w:val="single"/>
        </w:rPr>
        <w:t xml:space="preserve">   </w:t>
      </w:r>
      <w:r>
        <w:rPr>
          <w:rFonts w:hint="eastAsia" w:ascii="宋体" w:hAnsi="宋体"/>
          <w:color w:val="auto"/>
          <w:w w:val="200"/>
          <w:kern w:val="0"/>
          <w:szCs w:val="21"/>
          <w:highlight w:val="none"/>
          <w:u w:val="single"/>
        </w:rPr>
        <w:t xml:space="preserve"> </w:t>
      </w:r>
      <w:r>
        <w:rPr>
          <w:rFonts w:ascii="宋体" w:hAnsi="宋体"/>
          <w:color w:val="auto"/>
          <w:kern w:val="0"/>
          <w:szCs w:val="21"/>
          <w:highlight w:val="none"/>
          <w:u w:val="single"/>
        </w:rPr>
        <w:t xml:space="preserve">    </w:t>
      </w:r>
    </w:p>
    <w:p>
      <w:pPr>
        <w:autoSpaceDE w:val="0"/>
        <w:autoSpaceDN w:val="0"/>
        <w:adjustRightInd w:val="0"/>
        <w:snapToGrid w:val="0"/>
        <w:spacing w:line="480" w:lineRule="auto"/>
        <w:jc w:val="left"/>
        <w:rPr>
          <w:rFonts w:hint="eastAsia" w:ascii="宋体" w:hAnsi="宋体"/>
          <w:color w:val="auto"/>
          <w:kern w:val="0"/>
          <w:sz w:val="20"/>
          <w:szCs w:val="20"/>
          <w:highlight w:val="none"/>
        </w:rPr>
      </w:pPr>
    </w:p>
    <w:tbl>
      <w:tblPr>
        <w:tblStyle w:val="54"/>
        <w:tblpPr w:leftFromText="180" w:rightFromText="180" w:vertAnchor="text" w:horzAnchor="margin" w:tblpY="81"/>
        <w:tblW w:w="0" w:type="auto"/>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3815"/>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1867" w:hRule="atLeast"/>
        </w:trPr>
        <w:tc>
          <w:tcPr>
            <w:tcW w:w="3815" w:type="dxa"/>
            <w:noWrap w:val="0"/>
            <w:vAlign w:val="top"/>
          </w:tcPr>
          <w:p>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法定代表人身份证复印件双面</w:t>
            </w:r>
          </w:p>
          <w:p>
            <w:pPr>
              <w:spacing w:line="360" w:lineRule="auto"/>
              <w:jc w:val="center"/>
              <w:rPr>
                <w:rFonts w:hint="eastAsia" w:ascii="宋体" w:hAnsi="宋体" w:cs="宋体"/>
                <w:b/>
                <w:color w:val="auto"/>
                <w:szCs w:val="21"/>
                <w:highlight w:val="none"/>
              </w:rPr>
            </w:pPr>
          </w:p>
        </w:tc>
      </w:tr>
    </w:tbl>
    <w:p>
      <w:pPr>
        <w:rPr>
          <w:vanish/>
          <w:color w:val="auto"/>
          <w:highlight w:val="none"/>
        </w:rPr>
      </w:pPr>
    </w:p>
    <w:tbl>
      <w:tblPr>
        <w:tblStyle w:val="54"/>
        <w:tblpPr w:leftFromText="180" w:rightFromText="180" w:vertAnchor="text" w:horzAnchor="page" w:tblpX="6047" w:tblpY="114"/>
        <w:tblW w:w="0" w:type="auto"/>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398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1827" w:hRule="atLeast"/>
        </w:trPr>
        <w:tc>
          <w:tcPr>
            <w:tcW w:w="3980" w:type="dxa"/>
            <w:noWrap w:val="0"/>
            <w:vAlign w:val="top"/>
          </w:tcPr>
          <w:p>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委托代理人身份证复印件双面</w:t>
            </w:r>
          </w:p>
          <w:p>
            <w:pPr>
              <w:spacing w:line="360" w:lineRule="auto"/>
              <w:jc w:val="center"/>
              <w:rPr>
                <w:rFonts w:hint="eastAsia" w:ascii="宋体" w:hAnsi="宋体" w:cs="宋体"/>
                <w:b/>
                <w:color w:val="auto"/>
                <w:szCs w:val="21"/>
                <w:highlight w:val="none"/>
              </w:rPr>
            </w:pPr>
          </w:p>
        </w:tc>
      </w:tr>
    </w:tbl>
    <w:p>
      <w:pPr>
        <w:autoSpaceDE w:val="0"/>
        <w:autoSpaceDN w:val="0"/>
        <w:adjustRightInd w:val="0"/>
        <w:snapToGrid w:val="0"/>
        <w:spacing w:line="480" w:lineRule="auto"/>
        <w:jc w:val="left"/>
        <w:rPr>
          <w:rFonts w:hint="eastAsia" w:ascii="宋体" w:hAnsi="宋体"/>
          <w:color w:val="auto"/>
          <w:kern w:val="0"/>
          <w:sz w:val="20"/>
          <w:szCs w:val="20"/>
          <w:highlight w:val="none"/>
        </w:rPr>
      </w:pPr>
    </w:p>
    <w:p>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color w:val="auto"/>
          <w:w w:val="200"/>
          <w:kern w:val="0"/>
          <w:szCs w:val="21"/>
          <w:highlight w:val="none"/>
          <w:u w:val="single"/>
        </w:rPr>
      </w:pPr>
    </w:p>
    <w:p>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color w:val="auto"/>
          <w:w w:val="200"/>
          <w:kern w:val="0"/>
          <w:szCs w:val="21"/>
          <w:highlight w:val="none"/>
          <w:u w:val="single"/>
        </w:rPr>
      </w:pPr>
    </w:p>
    <w:p>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color w:val="auto"/>
          <w:w w:val="200"/>
          <w:kern w:val="0"/>
          <w:szCs w:val="21"/>
          <w:highlight w:val="none"/>
          <w:u w:val="single"/>
        </w:rPr>
      </w:pPr>
    </w:p>
    <w:p>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color w:val="auto"/>
          <w:w w:val="200"/>
          <w:kern w:val="0"/>
          <w:szCs w:val="21"/>
          <w:highlight w:val="none"/>
          <w:u w:val="single"/>
        </w:rPr>
      </w:pPr>
    </w:p>
    <w:p>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color w:val="auto"/>
          <w:w w:val="200"/>
          <w:kern w:val="0"/>
          <w:szCs w:val="21"/>
          <w:highlight w:val="none"/>
          <w:u w:val="single"/>
        </w:rPr>
      </w:pPr>
    </w:p>
    <w:p>
      <w:pPr>
        <w:tabs>
          <w:tab w:val="left" w:pos="4005"/>
          <w:tab w:val="left" w:pos="4100"/>
          <w:tab w:val="left" w:pos="5040"/>
        </w:tabs>
        <w:wordWrap w:val="0"/>
        <w:autoSpaceDE w:val="0"/>
        <w:autoSpaceDN w:val="0"/>
        <w:adjustRightInd w:val="0"/>
        <w:snapToGrid w:val="0"/>
        <w:spacing w:line="360" w:lineRule="auto"/>
        <w:ind w:firstLine="3780"/>
        <w:jc w:val="right"/>
        <w:rPr>
          <w:rFonts w:hint="eastAsia" w:ascii="宋体" w:hAnsi="宋体"/>
          <w:color w:val="auto"/>
          <w:kern w:val="0"/>
          <w:szCs w:val="21"/>
          <w:highlight w:val="none"/>
        </w:rPr>
      </w:pPr>
      <w:r>
        <w:rPr>
          <w:rFonts w:hint="eastAsia" w:ascii="宋体" w:hAnsi="宋体"/>
          <w:color w:val="auto"/>
          <w:w w:val="200"/>
          <w:kern w:val="0"/>
          <w:szCs w:val="21"/>
          <w:highlight w:val="none"/>
          <w:u w:val="single"/>
        </w:rPr>
        <w:t xml:space="preserve">      </w:t>
      </w:r>
      <w:r>
        <w:rPr>
          <w:rFonts w:ascii="宋体" w:hAnsi="宋体"/>
          <w:color w:val="auto"/>
          <w:kern w:val="0"/>
          <w:szCs w:val="21"/>
          <w:highlight w:val="none"/>
        </w:rPr>
        <w:t>年</w:t>
      </w:r>
      <w:r>
        <w:rPr>
          <w:rFonts w:ascii="宋体" w:hAnsi="宋体"/>
          <w:color w:val="auto"/>
          <w:w w:val="200"/>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月</w:t>
      </w:r>
      <w:r>
        <w:rPr>
          <w:rFonts w:ascii="宋体" w:hAnsi="宋体"/>
          <w:color w:val="auto"/>
          <w:w w:val="200"/>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日</w:t>
      </w:r>
      <w:r>
        <w:rPr>
          <w:rFonts w:hint="eastAsia" w:ascii="宋体" w:hAnsi="宋体"/>
          <w:color w:val="auto"/>
          <w:kern w:val="0"/>
          <w:szCs w:val="21"/>
          <w:highlight w:val="none"/>
        </w:rPr>
        <w:t xml:space="preserve"> </w:t>
      </w:r>
    </w:p>
    <w:p>
      <w:pPr>
        <w:tabs>
          <w:tab w:val="left" w:pos="5760"/>
        </w:tabs>
        <w:autoSpaceDE w:val="0"/>
        <w:autoSpaceDN w:val="0"/>
        <w:adjustRightInd w:val="0"/>
        <w:spacing w:line="360" w:lineRule="auto"/>
        <w:ind w:firstLine="420" w:firstLineChars="200"/>
        <w:rPr>
          <w:rFonts w:hint="eastAsia" w:ascii="宋体" w:hAnsi="宋体"/>
          <w:color w:val="auto"/>
          <w:kern w:val="0"/>
          <w:highlight w:val="none"/>
        </w:rPr>
      </w:pPr>
    </w:p>
    <w:p>
      <w:pPr>
        <w:spacing w:line="360" w:lineRule="auto"/>
        <w:ind w:firstLine="422" w:firstLineChars="200"/>
        <w:rPr>
          <w:rFonts w:ascii="宋体" w:hAnsi="宋体"/>
          <w:color w:val="auto"/>
          <w:highlight w:val="none"/>
        </w:rPr>
      </w:pPr>
      <w:r>
        <w:rPr>
          <w:rFonts w:hint="eastAsia" w:ascii="宋体" w:hAnsi="宋体" w:cs="宋体"/>
          <w:b/>
          <w:bCs/>
          <w:color w:val="auto"/>
          <w:kern w:val="0"/>
          <w:szCs w:val="21"/>
          <w:highlight w:val="none"/>
        </w:rPr>
        <w:t>注：法定代表人身份证明及授权委托书须另外准备一份原件，随</w:t>
      </w:r>
      <w:r>
        <w:rPr>
          <w:rFonts w:hint="eastAsia" w:ascii="宋体" w:hAnsi="宋体" w:cs="宋体"/>
          <w:b/>
          <w:bCs/>
          <w:color w:val="auto"/>
          <w:kern w:val="0"/>
          <w:szCs w:val="21"/>
          <w:highlight w:val="none"/>
          <w:lang w:eastAsia="zh-CN"/>
        </w:rPr>
        <w:t>参选</w:t>
      </w:r>
      <w:r>
        <w:rPr>
          <w:rFonts w:hint="eastAsia" w:ascii="宋体" w:hAnsi="宋体" w:cs="宋体"/>
          <w:b/>
          <w:bCs/>
          <w:color w:val="auto"/>
          <w:kern w:val="0"/>
          <w:szCs w:val="21"/>
          <w:highlight w:val="none"/>
        </w:rPr>
        <w:t>文件一并递交</w:t>
      </w:r>
      <w:r>
        <w:rPr>
          <w:rFonts w:ascii="宋体" w:hAnsi="宋体"/>
          <w:color w:val="auto"/>
          <w:highlight w:val="none"/>
        </w:rPr>
        <w:t>。</w:t>
      </w:r>
    </w:p>
    <w:p>
      <w:pPr>
        <w:pStyle w:val="5"/>
        <w:spacing w:before="0"/>
        <w:jc w:val="center"/>
        <w:rPr>
          <w:rFonts w:ascii="宋体" w:hAnsi="宋体"/>
          <w:color w:val="auto"/>
          <w:highlight w:val="none"/>
        </w:rPr>
      </w:pPr>
      <w:r>
        <w:rPr>
          <w:rFonts w:hint="eastAsia" w:ascii="宋体" w:hAnsi="宋体"/>
          <w:b w:val="0"/>
          <w:color w:val="auto"/>
          <w:highlight w:val="none"/>
        </w:rPr>
        <w:br w:type="page"/>
      </w:r>
      <w:bookmarkEnd w:id="86"/>
      <w:bookmarkEnd w:id="87"/>
      <w:bookmarkEnd w:id="88"/>
      <w:bookmarkEnd w:id="89"/>
    </w:p>
    <w:bookmarkEnd w:id="90"/>
    <w:bookmarkEnd w:id="91"/>
    <w:p>
      <w:pPr>
        <w:pStyle w:val="21"/>
        <w:ind w:left="420"/>
        <w:jc w:val="center"/>
        <w:rPr>
          <w:rFonts w:hint="default" w:ascii="宋体" w:hAnsi="宋体" w:eastAsia="宋体"/>
          <w:color w:val="auto"/>
          <w:highlight w:val="none"/>
          <w:lang w:val="en-US" w:eastAsia="zh-CN"/>
        </w:rPr>
      </w:pPr>
      <w:bookmarkStart w:id="92" w:name="_Toc17852"/>
      <w:r>
        <w:rPr>
          <w:rFonts w:hint="eastAsia" w:ascii="宋体" w:hAnsi="宋体"/>
          <w:b/>
          <w:bCs/>
          <w:snapToGrid w:val="0"/>
          <w:color w:val="auto"/>
          <w:kern w:val="0"/>
          <w:sz w:val="32"/>
          <w:szCs w:val="32"/>
          <w:highlight w:val="none"/>
        </w:rPr>
        <w:t>2.</w:t>
      </w:r>
      <w:bookmarkEnd w:id="92"/>
      <w:bookmarkStart w:id="93" w:name="_Toc5799"/>
      <w:bookmarkStart w:id="94" w:name="_Toc3235"/>
      <w:bookmarkStart w:id="95" w:name="_Toc534185843"/>
      <w:bookmarkStart w:id="96" w:name="_Toc42269749"/>
      <w:bookmarkStart w:id="97" w:name="_Toc17377"/>
      <w:bookmarkStart w:id="98" w:name="_Toc509218866"/>
      <w:r>
        <w:rPr>
          <w:rFonts w:hint="eastAsia" w:ascii="宋体" w:hAnsi="宋体"/>
          <w:b/>
          <w:bCs/>
          <w:snapToGrid w:val="0"/>
          <w:color w:val="auto"/>
          <w:kern w:val="0"/>
          <w:sz w:val="32"/>
          <w:szCs w:val="32"/>
          <w:highlight w:val="none"/>
          <w:lang w:val="en-US" w:eastAsia="zh-CN"/>
        </w:rPr>
        <w:t>营业执照</w:t>
      </w:r>
    </w:p>
    <w:p>
      <w:pPr>
        <w:pStyle w:val="21"/>
        <w:ind w:left="420"/>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提供合法有效且满足比选文件中经营范围要求的营业执照复印件，加盖公章</w:t>
      </w:r>
    </w:p>
    <w:p>
      <w:pPr>
        <w:pStyle w:val="21"/>
        <w:ind w:left="420"/>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rPr>
          <w:rFonts w:hint="eastAsia" w:ascii="宋体" w:hAnsi="宋体"/>
          <w:color w:val="auto"/>
          <w:highlight w:val="none"/>
        </w:rPr>
      </w:pPr>
    </w:p>
    <w:p>
      <w:pPr>
        <w:pStyle w:val="2"/>
        <w:rPr>
          <w:rFonts w:hint="eastAsia" w:ascii="宋体" w:hAnsi="宋体"/>
          <w:color w:val="auto"/>
          <w:highlight w:val="none"/>
        </w:rPr>
      </w:pPr>
    </w:p>
    <w:p>
      <w:pPr>
        <w:pStyle w:val="21"/>
        <w:numPr>
          <w:ilvl w:val="0"/>
          <w:numId w:val="0"/>
        </w:numPr>
        <w:rPr>
          <w:rFonts w:hint="eastAsia" w:ascii="宋体" w:hAnsi="宋体"/>
          <w:color w:val="auto"/>
          <w:highlight w:val="none"/>
        </w:rPr>
      </w:pPr>
    </w:p>
    <w:p>
      <w:pPr>
        <w:pStyle w:val="21"/>
        <w:numPr>
          <w:ilvl w:val="0"/>
          <w:numId w:val="0"/>
        </w:numPr>
        <w:ind w:left="1850" w:leftChars="0"/>
        <w:rPr>
          <w:rFonts w:hint="eastAsia" w:ascii="宋体" w:hAnsi="宋体"/>
          <w:color w:val="auto"/>
          <w:highlight w:val="none"/>
        </w:rPr>
      </w:pPr>
    </w:p>
    <w:p>
      <w:pPr>
        <w:pStyle w:val="21"/>
        <w:numPr>
          <w:ilvl w:val="0"/>
          <w:numId w:val="0"/>
        </w:numPr>
        <w:rPr>
          <w:rFonts w:hint="eastAsia" w:ascii="宋体" w:hAnsi="宋体"/>
          <w:color w:val="auto"/>
          <w:highlight w:val="none"/>
        </w:rPr>
      </w:pPr>
    </w:p>
    <w:bookmarkEnd w:id="93"/>
    <w:bookmarkEnd w:id="94"/>
    <w:bookmarkEnd w:id="95"/>
    <w:bookmarkEnd w:id="96"/>
    <w:bookmarkEnd w:id="97"/>
    <w:bookmarkEnd w:id="98"/>
    <w:p>
      <w:pPr>
        <w:pStyle w:val="21"/>
        <w:numPr>
          <w:ilvl w:val="0"/>
          <w:numId w:val="0"/>
        </w:numPr>
        <w:ind w:left="1850" w:leftChars="0"/>
        <w:jc w:val="center"/>
        <w:rPr>
          <w:rFonts w:hint="eastAsia"/>
          <w:color w:val="auto"/>
          <w:sz w:val="28"/>
          <w:szCs w:val="28"/>
          <w:highlight w:val="none"/>
        </w:rPr>
      </w:pPr>
      <w:bookmarkStart w:id="99" w:name="_Toc5310"/>
      <w:bookmarkStart w:id="100" w:name="_Toc12574"/>
      <w:bookmarkStart w:id="101" w:name="_Toc15225"/>
      <w:bookmarkStart w:id="102" w:name="_Toc42269751"/>
      <w:bookmarkStart w:id="103" w:name="_Toc731"/>
      <w:r>
        <w:rPr>
          <w:rFonts w:hint="eastAsia" w:ascii="宋体" w:hAnsi="宋体"/>
          <w:b/>
          <w:bCs/>
          <w:snapToGrid w:val="0"/>
          <w:color w:val="auto"/>
          <w:kern w:val="0"/>
          <w:sz w:val="32"/>
          <w:szCs w:val="32"/>
          <w:highlight w:val="none"/>
          <w:lang w:val="en-US" w:eastAsia="zh-CN"/>
        </w:rPr>
        <w:t>3</w:t>
      </w:r>
      <w:r>
        <w:rPr>
          <w:rFonts w:hint="eastAsia" w:ascii="宋体" w:hAnsi="宋体"/>
          <w:b/>
          <w:bCs/>
          <w:snapToGrid w:val="0"/>
          <w:color w:val="auto"/>
          <w:kern w:val="0"/>
          <w:sz w:val="32"/>
          <w:szCs w:val="32"/>
          <w:highlight w:val="none"/>
        </w:rPr>
        <w:t>.</w:t>
      </w:r>
      <w:bookmarkEnd w:id="99"/>
      <w:bookmarkEnd w:id="100"/>
      <w:bookmarkEnd w:id="101"/>
      <w:bookmarkEnd w:id="102"/>
      <w:r>
        <w:rPr>
          <w:rFonts w:hint="eastAsia" w:ascii="宋体" w:hAnsi="宋体"/>
          <w:b/>
          <w:bCs/>
          <w:snapToGrid w:val="0"/>
          <w:color w:val="auto"/>
          <w:kern w:val="0"/>
          <w:sz w:val="32"/>
          <w:szCs w:val="32"/>
          <w:highlight w:val="none"/>
          <w:lang w:eastAsia="zh-CN"/>
        </w:rPr>
        <w:t>参选</w:t>
      </w:r>
      <w:r>
        <w:rPr>
          <w:rFonts w:hint="eastAsia" w:ascii="宋体" w:hAnsi="宋体"/>
          <w:b/>
          <w:bCs/>
          <w:snapToGrid w:val="0"/>
          <w:color w:val="auto"/>
          <w:kern w:val="0"/>
          <w:sz w:val="32"/>
          <w:szCs w:val="32"/>
          <w:highlight w:val="none"/>
        </w:rPr>
        <w:t>截止日</w:t>
      </w:r>
      <w:r>
        <w:rPr>
          <w:rFonts w:hint="eastAsia" w:ascii="宋体" w:hAnsi="宋体"/>
          <w:b/>
          <w:bCs/>
          <w:snapToGrid w:val="0"/>
          <w:color w:val="auto"/>
          <w:kern w:val="0"/>
          <w:sz w:val="32"/>
          <w:szCs w:val="32"/>
          <w:highlight w:val="none"/>
          <w:lang w:eastAsia="zh-CN"/>
        </w:rPr>
        <w:t>参选</w:t>
      </w:r>
      <w:r>
        <w:rPr>
          <w:rFonts w:hint="eastAsia" w:ascii="宋体" w:hAnsi="宋体"/>
          <w:b/>
          <w:bCs/>
          <w:snapToGrid w:val="0"/>
          <w:color w:val="auto"/>
          <w:kern w:val="0"/>
          <w:sz w:val="32"/>
          <w:szCs w:val="32"/>
          <w:highlight w:val="none"/>
        </w:rPr>
        <w:t>资格情况</w:t>
      </w:r>
      <w:bookmarkEnd w:id="103"/>
    </w:p>
    <w:p>
      <w:pPr>
        <w:ind w:firstLine="420" w:firstLineChars="200"/>
        <w:outlineLvl w:val="1"/>
        <w:rPr>
          <w:rFonts w:hint="eastAsia" w:ascii="宋体" w:hAnsi="宋体"/>
          <w:b w:val="0"/>
          <w:color w:val="auto"/>
          <w:highlight w:val="none"/>
          <w:lang w:val="en-US" w:eastAsia="zh-CN"/>
        </w:rPr>
      </w:pPr>
      <w:r>
        <w:rPr>
          <w:rFonts w:hint="eastAsia" w:ascii="宋体" w:hAnsi="宋体"/>
          <w:b w:val="0"/>
          <w:color w:val="auto"/>
          <w:highlight w:val="none"/>
          <w:lang w:val="en-US" w:eastAsia="zh-CN"/>
        </w:rPr>
        <w:t>提供承诺，格式自拟，可参考下列格式：</w:t>
      </w:r>
    </w:p>
    <w:p>
      <w:pPr>
        <w:spacing w:line="400" w:lineRule="exact"/>
        <w:ind w:firstLine="480" w:firstLineChars="200"/>
        <w:jc w:val="center"/>
        <w:rPr>
          <w:rFonts w:hint="eastAsia" w:ascii="方正仿宋_GBK" w:hAnsi="方正仿宋_GBK" w:eastAsia="方正仿宋_GBK" w:cs="方正仿宋_GBK"/>
          <w:color w:val="auto"/>
          <w:sz w:val="24"/>
          <w:szCs w:val="28"/>
          <w:highlight w:val="none"/>
        </w:rPr>
      </w:pPr>
    </w:p>
    <w:p>
      <w:pPr>
        <w:spacing w:line="400" w:lineRule="exact"/>
        <w:ind w:firstLine="480" w:firstLineChars="200"/>
        <w:jc w:val="center"/>
        <w:rPr>
          <w:rFonts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承诺函</w:t>
      </w:r>
    </w:p>
    <w:p>
      <w:pPr>
        <w:spacing w:line="400" w:lineRule="exact"/>
        <w:ind w:firstLine="480" w:firstLineChars="200"/>
        <w:rPr>
          <w:rFonts w:ascii="方正仿宋_GBK" w:hAnsi="方正仿宋_GBK" w:eastAsia="方正仿宋_GBK" w:cs="方正仿宋_GBK"/>
          <w:color w:val="auto"/>
          <w:sz w:val="24"/>
          <w:szCs w:val="28"/>
          <w:highlight w:val="none"/>
        </w:rPr>
      </w:pP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致</w:t>
      </w:r>
      <w:r>
        <w:rPr>
          <w:rFonts w:hint="eastAsia" w:ascii="方正仿宋_GBK" w:hAnsi="方正仿宋_GBK" w:eastAsia="方正仿宋_GBK" w:cs="方正仿宋_GBK"/>
          <w:color w:val="auto"/>
          <w:sz w:val="24"/>
          <w:szCs w:val="28"/>
          <w:highlight w:val="none"/>
          <w:u w:val="single"/>
        </w:rPr>
        <w:t xml:space="preserve">                      </w:t>
      </w:r>
      <w:r>
        <w:rPr>
          <w:rFonts w:hint="eastAsia" w:ascii="方正仿宋_GBK" w:hAnsi="方正仿宋_GBK" w:eastAsia="方正仿宋_GBK" w:cs="方正仿宋_GBK"/>
          <w:color w:val="auto"/>
          <w:sz w:val="24"/>
          <w:szCs w:val="28"/>
          <w:highlight w:val="none"/>
        </w:rPr>
        <w:t>（</w:t>
      </w:r>
      <w:r>
        <w:rPr>
          <w:rFonts w:hint="eastAsia" w:ascii="方正仿宋_GBK" w:hAnsi="方正仿宋_GBK" w:eastAsia="方正仿宋_GBK" w:cs="方正仿宋_GBK"/>
          <w:color w:val="auto"/>
          <w:sz w:val="24"/>
          <w:szCs w:val="28"/>
          <w:highlight w:val="none"/>
          <w:lang w:val="en-US" w:eastAsia="zh-CN"/>
        </w:rPr>
        <w:t>比选人</w:t>
      </w:r>
      <w:r>
        <w:rPr>
          <w:rFonts w:hint="eastAsia" w:ascii="方正仿宋_GBK" w:hAnsi="方正仿宋_GBK" w:eastAsia="方正仿宋_GBK" w:cs="方正仿宋_GBK"/>
          <w:color w:val="auto"/>
          <w:sz w:val="24"/>
          <w:szCs w:val="28"/>
          <w:highlight w:val="none"/>
        </w:rPr>
        <w:t>名称）</w:t>
      </w: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lang w:val="en-US" w:eastAsia="zh-CN"/>
        </w:rPr>
        <w:t>我司</w:t>
      </w:r>
      <w:r>
        <w:rPr>
          <w:rFonts w:hint="eastAsia" w:ascii="方正仿宋_GBK" w:hAnsi="方正仿宋_GBK" w:eastAsia="方正仿宋_GBK" w:cs="方正仿宋_GBK"/>
          <w:color w:val="auto"/>
          <w:sz w:val="24"/>
          <w:szCs w:val="28"/>
          <w:highlight w:val="none"/>
        </w:rPr>
        <w:t>郑重承诺</w:t>
      </w:r>
      <w:r>
        <w:rPr>
          <w:rFonts w:hint="eastAsia" w:ascii="方正仿宋_GBK" w:hAnsi="方正仿宋_GBK" w:eastAsia="方正仿宋_GBK" w:cs="方正仿宋_GBK"/>
          <w:color w:val="auto"/>
          <w:sz w:val="24"/>
          <w:szCs w:val="28"/>
          <w:highlight w:val="none"/>
          <w:lang w:val="en-US" w:eastAsia="zh-CN"/>
        </w:rPr>
        <w:t>不存在下列情形之一</w:t>
      </w:r>
      <w:r>
        <w:rPr>
          <w:rFonts w:hint="eastAsia" w:ascii="方正仿宋_GBK" w:hAnsi="方正仿宋_GBK" w:eastAsia="方正仿宋_GBK" w:cs="方正仿宋_GBK"/>
          <w:color w:val="auto"/>
          <w:sz w:val="24"/>
          <w:szCs w:val="28"/>
          <w:highlight w:val="none"/>
        </w:rPr>
        <w:t>：</w:t>
      </w: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（1）被人民法院在“信用中国”网站（www.creditchina.gov.cn）列入失信被执行人名单且在被执行期内；</w:t>
      </w: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（2）被列入《重庆市工程建设领域</w:t>
      </w:r>
      <w:r>
        <w:rPr>
          <w:rFonts w:hint="eastAsia" w:ascii="方正仿宋_GBK" w:hAnsi="方正仿宋_GBK" w:eastAsia="方正仿宋_GBK" w:cs="方正仿宋_GBK"/>
          <w:color w:val="auto"/>
          <w:sz w:val="24"/>
          <w:szCs w:val="28"/>
          <w:highlight w:val="none"/>
          <w:lang w:eastAsia="zh-CN"/>
        </w:rPr>
        <w:t>比选参选</w:t>
      </w:r>
      <w:r>
        <w:rPr>
          <w:rFonts w:hint="eastAsia" w:ascii="方正仿宋_GBK" w:hAnsi="方正仿宋_GBK" w:eastAsia="方正仿宋_GBK" w:cs="方正仿宋_GBK"/>
          <w:color w:val="auto"/>
          <w:sz w:val="24"/>
          <w:szCs w:val="28"/>
          <w:highlight w:val="none"/>
        </w:rPr>
        <w:t>信用管理暂行办法》规定的重点关注名单且记分达到12分且在记分有效期内；</w:t>
      </w: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（3）被列入《重庆市工程建设领域</w:t>
      </w:r>
      <w:r>
        <w:rPr>
          <w:rFonts w:hint="eastAsia" w:ascii="方正仿宋_GBK" w:hAnsi="方正仿宋_GBK" w:eastAsia="方正仿宋_GBK" w:cs="方正仿宋_GBK"/>
          <w:color w:val="auto"/>
          <w:sz w:val="24"/>
          <w:szCs w:val="28"/>
          <w:highlight w:val="none"/>
          <w:lang w:eastAsia="zh-CN"/>
        </w:rPr>
        <w:t>比选参选</w:t>
      </w:r>
      <w:r>
        <w:rPr>
          <w:rFonts w:hint="eastAsia" w:ascii="方正仿宋_GBK" w:hAnsi="方正仿宋_GBK" w:eastAsia="方正仿宋_GBK" w:cs="方正仿宋_GBK"/>
          <w:color w:val="auto"/>
          <w:sz w:val="24"/>
          <w:szCs w:val="28"/>
          <w:highlight w:val="none"/>
        </w:rPr>
        <w:t>信用管理暂行办法》规定的重庆市工程建设领域</w:t>
      </w:r>
      <w:r>
        <w:rPr>
          <w:rFonts w:hint="eastAsia" w:ascii="方正仿宋_GBK" w:hAnsi="方正仿宋_GBK" w:eastAsia="方正仿宋_GBK" w:cs="方正仿宋_GBK"/>
          <w:color w:val="auto"/>
          <w:sz w:val="24"/>
          <w:szCs w:val="28"/>
          <w:highlight w:val="none"/>
          <w:lang w:eastAsia="zh-CN"/>
        </w:rPr>
        <w:t>比选参选</w:t>
      </w:r>
      <w:r>
        <w:rPr>
          <w:rFonts w:hint="eastAsia" w:ascii="方正仿宋_GBK" w:hAnsi="方正仿宋_GBK" w:eastAsia="方正仿宋_GBK" w:cs="方正仿宋_GBK"/>
          <w:color w:val="auto"/>
          <w:sz w:val="24"/>
          <w:szCs w:val="28"/>
          <w:highlight w:val="none"/>
        </w:rPr>
        <w:t>失信惩戒对象名单（以下称黑名单）且在记分有效期内；</w:t>
      </w: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（4）被国家、重庆市（含市或任意区县）有关行政部门处以暂停</w:t>
      </w:r>
      <w:r>
        <w:rPr>
          <w:rFonts w:hint="eastAsia" w:ascii="方正仿宋_GBK" w:hAnsi="方正仿宋_GBK" w:eastAsia="方正仿宋_GBK" w:cs="方正仿宋_GBK"/>
          <w:color w:val="auto"/>
          <w:sz w:val="24"/>
          <w:szCs w:val="28"/>
          <w:highlight w:val="none"/>
          <w:lang w:eastAsia="zh-CN"/>
        </w:rPr>
        <w:t>参选</w:t>
      </w:r>
      <w:r>
        <w:rPr>
          <w:rFonts w:hint="eastAsia" w:ascii="方正仿宋_GBK" w:hAnsi="方正仿宋_GBK" w:eastAsia="方正仿宋_GBK" w:cs="方正仿宋_GBK"/>
          <w:color w:val="auto"/>
          <w:sz w:val="24"/>
          <w:szCs w:val="28"/>
          <w:highlight w:val="none"/>
        </w:rPr>
        <w:t>资格行政处罚，且在处罚期限内；</w:t>
      </w: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（5）被重庆市建设主管部门暂停在渝承揽新业务且在暂停期内；</w:t>
      </w: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（6）被责令停业，暂扣或吊销执照，或吊销资质证书；</w:t>
      </w: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（7）进入清算程序，或被宣告破产，或其他丧失履约能力的情形；</w:t>
      </w: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w:t>
      </w:r>
      <w:r>
        <w:rPr>
          <w:rFonts w:hint="eastAsia" w:ascii="方正仿宋_GBK" w:hAnsi="方正仿宋_GBK" w:eastAsia="方正仿宋_GBK" w:cs="方正仿宋_GBK"/>
          <w:color w:val="auto"/>
          <w:sz w:val="24"/>
          <w:szCs w:val="28"/>
          <w:highlight w:val="none"/>
          <w:lang w:val="en-US" w:eastAsia="zh-CN"/>
        </w:rPr>
        <w:t>8</w:t>
      </w:r>
      <w:r>
        <w:rPr>
          <w:rFonts w:hint="eastAsia" w:ascii="方正仿宋_GBK" w:hAnsi="方正仿宋_GBK" w:eastAsia="方正仿宋_GBK" w:cs="方正仿宋_GBK"/>
          <w:color w:val="auto"/>
          <w:sz w:val="24"/>
          <w:szCs w:val="28"/>
          <w:highlight w:val="none"/>
        </w:rPr>
        <w:t>）在国家企业信用信息公示系统（http://www.gsxt.gov.cn/）中被列入严重违法失信企业名单；</w:t>
      </w: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（9）</w:t>
      </w:r>
      <w:r>
        <w:rPr>
          <w:rFonts w:hint="eastAsia" w:ascii="方正仿宋_GBK" w:hAnsi="方正仿宋_GBK" w:eastAsia="方正仿宋_GBK" w:cs="方正仿宋_GBK"/>
          <w:color w:val="auto"/>
          <w:sz w:val="24"/>
          <w:szCs w:val="28"/>
          <w:highlight w:val="none"/>
          <w:lang w:eastAsia="zh-CN"/>
        </w:rPr>
        <w:t>参选</w:t>
      </w:r>
      <w:r>
        <w:rPr>
          <w:rFonts w:hint="eastAsia" w:ascii="方正仿宋_GBK" w:hAnsi="方正仿宋_GBK" w:eastAsia="方正仿宋_GBK" w:cs="方正仿宋_GBK"/>
          <w:color w:val="auto"/>
          <w:sz w:val="24"/>
          <w:szCs w:val="28"/>
          <w:highlight w:val="none"/>
        </w:rPr>
        <w:t>人或其法定代表人在近两年内有行贿犯罪行为。</w:t>
      </w: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我</w:t>
      </w:r>
      <w:r>
        <w:rPr>
          <w:rFonts w:hint="eastAsia" w:ascii="方正仿宋_GBK" w:hAnsi="方正仿宋_GBK" w:eastAsia="方正仿宋_GBK" w:cs="方正仿宋_GBK"/>
          <w:color w:val="auto"/>
          <w:sz w:val="24"/>
          <w:szCs w:val="28"/>
          <w:highlight w:val="none"/>
          <w:lang w:val="en-US" w:eastAsia="zh-CN"/>
        </w:rPr>
        <w:t>司</w:t>
      </w:r>
      <w:r>
        <w:rPr>
          <w:rFonts w:hint="eastAsia" w:ascii="方正仿宋_GBK" w:hAnsi="方正仿宋_GBK" w:eastAsia="方正仿宋_GBK" w:cs="方正仿宋_GBK"/>
          <w:color w:val="auto"/>
          <w:sz w:val="24"/>
          <w:szCs w:val="28"/>
          <w:highlight w:val="none"/>
        </w:rPr>
        <w:t>对以上承诺负全部法律责任。</w:t>
      </w:r>
    </w:p>
    <w:p>
      <w:pPr>
        <w:spacing w:line="400" w:lineRule="exact"/>
        <w:ind w:firstLine="960" w:firstLineChars="400"/>
        <w:jc w:val="lef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特此承诺。</w:t>
      </w: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p>
    <w:p>
      <w:pPr>
        <w:spacing w:line="400" w:lineRule="exact"/>
        <w:ind w:firstLine="480" w:firstLineChars="200"/>
        <w:jc w:val="left"/>
        <w:rPr>
          <w:rFonts w:hint="eastAsia" w:ascii="方正仿宋_GBK" w:hAnsi="方正仿宋_GBK" w:eastAsia="方正仿宋_GBK" w:cs="方正仿宋_GBK"/>
          <w:color w:val="auto"/>
          <w:sz w:val="24"/>
          <w:szCs w:val="28"/>
          <w:highlight w:val="none"/>
        </w:rPr>
      </w:pPr>
    </w:p>
    <w:p>
      <w:pPr>
        <w:spacing w:line="400" w:lineRule="exact"/>
        <w:ind w:firstLine="480" w:firstLineChars="200"/>
        <w:jc w:val="righ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w:t>
      </w:r>
      <w:r>
        <w:rPr>
          <w:rFonts w:hint="eastAsia" w:ascii="方正仿宋_GBK" w:hAnsi="方正仿宋_GBK" w:eastAsia="方正仿宋_GBK" w:cs="方正仿宋_GBK"/>
          <w:color w:val="auto"/>
          <w:sz w:val="24"/>
          <w:szCs w:val="28"/>
          <w:highlight w:val="none"/>
          <w:lang w:val="en-US" w:eastAsia="zh-CN"/>
        </w:rPr>
        <w:t>参选人</w:t>
      </w:r>
      <w:r>
        <w:rPr>
          <w:rFonts w:hint="eastAsia" w:ascii="方正仿宋_GBK" w:hAnsi="方正仿宋_GBK" w:eastAsia="方正仿宋_GBK" w:cs="方正仿宋_GBK"/>
          <w:color w:val="auto"/>
          <w:sz w:val="24"/>
          <w:szCs w:val="28"/>
          <w:highlight w:val="none"/>
        </w:rPr>
        <w:t>公章）</w:t>
      </w:r>
    </w:p>
    <w:p>
      <w:pPr>
        <w:spacing w:line="400" w:lineRule="exact"/>
        <w:ind w:firstLine="480" w:firstLineChars="200"/>
        <w:jc w:val="right"/>
        <w:rPr>
          <w:rFonts w:hint="eastAsia" w:ascii="方正仿宋_GBK" w:hAnsi="方正仿宋_GBK" w:eastAsia="方正仿宋_GBK" w:cs="方正仿宋_GBK"/>
          <w:color w:val="auto"/>
          <w:sz w:val="24"/>
          <w:szCs w:val="28"/>
          <w:highlight w:val="none"/>
        </w:rPr>
      </w:pPr>
    </w:p>
    <w:p>
      <w:pPr>
        <w:spacing w:line="400" w:lineRule="exact"/>
        <w:ind w:firstLine="480" w:firstLineChars="200"/>
        <w:jc w:val="right"/>
        <w:rPr>
          <w:rFonts w:hint="eastAsia" w:ascii="方正仿宋_GBK" w:hAnsi="方正仿宋_GBK" w:eastAsia="方正仿宋_GBK" w:cs="方正仿宋_GBK"/>
          <w:color w:val="auto"/>
          <w:sz w:val="24"/>
          <w:szCs w:val="28"/>
          <w:highlight w:val="none"/>
        </w:rPr>
      </w:pPr>
      <w:r>
        <w:rPr>
          <w:rFonts w:hint="eastAsia" w:ascii="方正仿宋_GBK" w:hAnsi="方正仿宋_GBK" w:eastAsia="方正仿宋_GBK" w:cs="方正仿宋_GBK"/>
          <w:color w:val="auto"/>
          <w:sz w:val="24"/>
          <w:szCs w:val="28"/>
          <w:highlight w:val="none"/>
        </w:rPr>
        <w:t>年   月   日</w:t>
      </w:r>
    </w:p>
    <w:p>
      <w:pPr>
        <w:pStyle w:val="50"/>
        <w:rPr>
          <w:rFonts w:hint="default"/>
          <w:lang w:val="en-US"/>
        </w:rPr>
      </w:pPr>
    </w:p>
    <w:p>
      <w:pPr>
        <w:rPr>
          <w:rFonts w:hint="eastAsia"/>
          <w:color w:val="auto"/>
          <w:highlight w:val="none"/>
        </w:rPr>
      </w:pPr>
    </w:p>
    <w:p>
      <w:pPr>
        <w:rPr>
          <w:rFonts w:hint="eastAsia" w:ascii="宋体" w:hAnsi="宋体" w:cs="宋体"/>
          <w:color w:val="auto"/>
          <w:highlight w:val="none"/>
        </w:rPr>
      </w:pPr>
    </w:p>
    <w:p>
      <w:pPr>
        <w:pageBreakBefore/>
        <w:snapToGrid w:val="0"/>
        <w:spacing w:line="360" w:lineRule="auto"/>
        <w:jc w:val="center"/>
        <w:outlineLvl w:val="2"/>
        <w:rPr>
          <w:rFonts w:ascii="宋体" w:hAnsi="宋体"/>
          <w:b/>
          <w:bCs/>
          <w:snapToGrid w:val="0"/>
          <w:color w:val="auto"/>
          <w:kern w:val="0"/>
          <w:sz w:val="32"/>
          <w:szCs w:val="32"/>
          <w:highlight w:val="none"/>
        </w:rPr>
      </w:pPr>
      <w:bookmarkStart w:id="104" w:name="_Toc25968"/>
      <w:r>
        <w:rPr>
          <w:rFonts w:hint="eastAsia" w:ascii="宋体" w:hAnsi="宋体"/>
          <w:b/>
          <w:bCs/>
          <w:snapToGrid w:val="0"/>
          <w:color w:val="auto"/>
          <w:kern w:val="0"/>
          <w:sz w:val="32"/>
          <w:szCs w:val="32"/>
          <w:highlight w:val="none"/>
          <w:lang w:val="en-US" w:eastAsia="zh-CN"/>
        </w:rPr>
        <w:t>4</w:t>
      </w:r>
      <w:r>
        <w:rPr>
          <w:rFonts w:hint="eastAsia" w:ascii="宋体" w:hAnsi="宋体"/>
          <w:b/>
          <w:bCs/>
          <w:snapToGrid w:val="0"/>
          <w:color w:val="auto"/>
          <w:kern w:val="0"/>
          <w:sz w:val="32"/>
          <w:szCs w:val="32"/>
          <w:highlight w:val="none"/>
        </w:rPr>
        <w:t>.其他资料</w:t>
      </w:r>
      <w:bookmarkEnd w:id="104"/>
    </w:p>
    <w:p>
      <w:pP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 xml:space="preserve">    </w:t>
      </w:r>
    </w:p>
    <w:p>
      <w:pPr>
        <w:ind w:firstLine="420" w:firstLineChars="200"/>
        <w:jc w:val="left"/>
        <w:outlineLvl w:val="1"/>
        <w:rPr>
          <w:rFonts w:hint="eastAsia"/>
          <w:color w:val="auto"/>
          <w:highlight w:val="none"/>
        </w:rPr>
      </w:pPr>
      <w:r>
        <w:rPr>
          <w:rFonts w:hint="eastAsia"/>
          <w:color w:val="auto"/>
          <w:highlight w:val="none"/>
          <w:lang w:val="en-US" w:eastAsia="zh-CN"/>
        </w:rPr>
        <w:t>委托代理人社保证明材料等</w:t>
      </w:r>
    </w:p>
    <w:sectPr>
      <w:footerReference r:id="rId12" w:type="first"/>
      <w:headerReference r:id="rId10" w:type="default"/>
      <w:footerReference r:id="rId11" w:type="default"/>
      <w:pgSz w:w="11906" w:h="16838"/>
      <w:pgMar w:top="1134" w:right="1134" w:bottom="1134" w:left="1134" w:header="851" w:footer="992" w:gutter="0"/>
      <w:pgBorders>
        <w:top w:val="none" w:sz="0" w:space="0"/>
        <w:left w:val="none" w:sz="0" w:space="0"/>
        <w:bottom w:val="none" w:sz="0" w:space="0"/>
        <w:right w:val="none" w:sz="0" w:space="0"/>
      </w:pgBorders>
      <w:pgNumType w:fmt="decimal"/>
      <w:cols w:space="720" w:num="1"/>
      <w:titlePg/>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850CE07-FE21-4ED0-9E33-A3AE1ABB838D}"/>
  </w:font>
  <w:font w:name="黑体">
    <w:panose1 w:val="02010609060101010101"/>
    <w:charset w:val="86"/>
    <w:family w:val="auto"/>
    <w:pitch w:val="default"/>
    <w:sig w:usb0="800002BF" w:usb1="38CF7CFA" w:usb2="00000016" w:usb3="00000000" w:csb0="00040001" w:csb1="00000000"/>
    <w:embedRegular r:id="rId2" w:fontKey="{FC760D36-F4C9-4444-8885-91014DB6113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F89B687-8A3E-4905-8261-9DC84227094D}"/>
  </w:font>
  <w:font w:name="仿宋_GB2312">
    <w:altName w:val="仿宋"/>
    <w:panose1 w:val="02010609030101010101"/>
    <w:charset w:val="86"/>
    <w:family w:val="modern"/>
    <w:pitch w:val="default"/>
    <w:sig w:usb0="00000000" w:usb1="00000000" w:usb2="00000000" w:usb3="00000000" w:csb0="00040000" w:csb1="00000000"/>
    <w:embedRegular r:id="rId4" w:fontKey="{8D81CEAF-460E-4E42-A0D3-2BA3C29DAA56}"/>
  </w:font>
  <w:font w:name="仿宋">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embedRegular r:id="rId5" w:fontKey="{4AE2624B-0436-4BDC-9890-0AB0E869ADC0}"/>
  </w:font>
  <w:font w:name="Cambria">
    <w:panose1 w:val="02040503050406030204"/>
    <w:charset w:val="00"/>
    <w:family w:val="roman"/>
    <w:pitch w:val="default"/>
    <w:sig w:usb0="E00006FF" w:usb1="420024FF" w:usb2="0200000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方正仿宋简体">
    <w:panose1 w:val="02000000000000000000"/>
    <w:charset w:val="86"/>
    <w:family w:val="auto"/>
    <w:pitch w:val="default"/>
    <w:sig w:usb0="A00002BF" w:usb1="184F6CFA" w:usb2="00000012" w:usb3="00000000" w:csb0="00040001" w:csb1="00000000"/>
  </w:font>
  <w:font w:name="方正书宋简体">
    <w:altName w:val="宋体"/>
    <w:panose1 w:val="02010601030101010101"/>
    <w:charset w:val="86"/>
    <w:family w:val="auto"/>
    <w:pitch w:val="default"/>
    <w:sig w:usb0="00000000" w:usb1="00000000" w:usb2="00000000" w:usb3="00000000" w:csb0="00040000" w:csb1="00000000"/>
  </w:font>
  <w:font w:name="楷体_GB2312">
    <w:altName w:val="楷体"/>
    <w:panose1 w:val="020106090300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Arial Unicode MS"/>
    <w:panose1 w:val="03000509000000000000"/>
    <w:charset w:val="86"/>
    <w:family w:val="script"/>
    <w:pitch w:val="default"/>
    <w:sig w:usb0="00000000" w:usb1="00000000" w:usb2="00000000" w:usb3="00000000" w:csb0="00040000" w:csb1="00000000"/>
    <w:embedRegular r:id="rId6" w:fontKey="{A9254EA7-ADFC-4362-8C0B-A052E7913716}"/>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ヒラギノ角ゴ Pro W3">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方正仿宋_GBK">
    <w:panose1 w:val="03000509000000000000"/>
    <w:charset w:val="86"/>
    <w:family w:val="auto"/>
    <w:pitch w:val="default"/>
    <w:sig w:usb0="00000001" w:usb1="080E0000" w:usb2="00000000" w:usb3="00000000" w:csb0="00040000" w:csb1="00000000"/>
    <w:embedRegular r:id="rId7" w:fontKey="{18CB12CE-212B-406F-B015-762FB9740A00}"/>
  </w:font>
  <w:font w:name="方正小标宋_GBK">
    <w:panose1 w:val="03000509000000000000"/>
    <w:charset w:val="86"/>
    <w:family w:val="script"/>
    <w:pitch w:val="default"/>
    <w:sig w:usb0="00000001" w:usb1="080E0000" w:usb2="00000000" w:usb3="00000000" w:csb0="00040000" w:csb1="00000000"/>
    <w:embedRegular r:id="rId8" w:fontKey="{26A23410-9C48-4E3F-A1B4-C45231129315}"/>
  </w:font>
  <w:font w:name="方正仿宋_GB2312">
    <w:altName w:val="仿宋"/>
    <w:panose1 w:val="02000000000000000000"/>
    <w:charset w:val="86"/>
    <w:family w:val="auto"/>
    <w:pitch w:val="default"/>
    <w:sig w:usb0="00000000" w:usb1="00000000" w:usb2="00000012" w:usb3="00000000" w:csb0="00040001" w:csb1="00000000"/>
    <w:embedRegular r:id="rId9" w:fontKey="{D1117F27-86B5-405E-B84E-18DE55CF47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Style w:val="59"/>
      </w:rPr>
    </w:pPr>
    <w:r>
      <w:fldChar w:fldCharType="begin"/>
    </w:r>
    <w:r>
      <w:rPr>
        <w:rStyle w:val="59"/>
      </w:rPr>
      <w:instrText xml:space="preserve">PAGE  </w:instrText>
    </w:r>
    <w:r>
      <w:fldChar w:fldCharType="end"/>
    </w:r>
  </w:p>
  <w:p>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tabs>
        <w:tab w:val="left" w:pos="5648"/>
        <w:tab w:val="clear" w:pos="4153"/>
        <w:tab w:val="clear" w:pos="8306"/>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p>
  <w:p>
    <w:pPr>
      <w:pStyle w:val="3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tabs>
        <w:tab w:val="left" w:pos="5648"/>
        <w:tab w:val="clear" w:pos="4153"/>
        <w:tab w:val="clear" w:pos="8306"/>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p>
    <w:pPr>
      <w:pStyle w:val="35"/>
      <w:tabs>
        <w:tab w:val="left" w:pos="5445"/>
        <w:tab w:val="clear" w:pos="4153"/>
      </w:tabs>
      <w:rPr>
        <w:rFonts w:hint="eastAsia" w:eastAsia="宋体"/>
        <w:lang w:eastAsia="zh-CN"/>
      </w:rPr>
    </w:pP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tabs>
        <w:tab w:val="left" w:pos="5648"/>
        <w:tab w:val="clear" w:pos="4153"/>
        <w:tab w:val="clear"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1</w:t>
                    </w:r>
                    <w:r>
                      <w:fldChar w:fldCharType="end"/>
                    </w:r>
                  </w:p>
                </w:txbxContent>
              </v:textbox>
            </v:shape>
          </w:pict>
        </mc:Fallback>
      </mc:AlternateConten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1</w:t>
                    </w:r>
                    <w:r>
                      <w:fldChar w:fldCharType="end"/>
                    </w:r>
                  </w:p>
                </w:txbxContent>
              </v:textbox>
            </v:shape>
          </w:pict>
        </mc:Fallback>
      </mc:AlternateContent>
    </w:r>
  </w:p>
  <w:p>
    <w:pPr>
      <w:pStyle w:val="35"/>
      <w:ind w:right="360"/>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53</w:t>
                    </w:r>
                    <w:r>
                      <w:fldChar w:fldCharType="end"/>
                    </w:r>
                  </w:p>
                </w:txbxContent>
              </v:textbox>
            </v:shape>
          </w:pict>
        </mc:Fallback>
      </mc:AlternateContent>
    </w:r>
  </w:p>
  <w:p>
    <w:pPr>
      <w:pStyle w:val="3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1"/>
      </w:pBdr>
    </w:pPr>
  </w:p>
  <w:p>
    <w:pPr>
      <w:pStyle w:val="3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569D98"/>
    <w:multiLevelType w:val="singleLevel"/>
    <w:tmpl w:val="FC569D98"/>
    <w:lvl w:ilvl="0" w:tentative="0">
      <w:start w:val="1"/>
      <w:numFmt w:val="decimal"/>
      <w:suff w:val="space"/>
      <w:lvlText w:val="%1."/>
      <w:lvlJc w:val="left"/>
    </w:lvl>
  </w:abstractNum>
  <w:abstractNum w:abstractNumId="1">
    <w:nsid w:val="00000001"/>
    <w:multiLevelType w:val="multilevel"/>
    <w:tmpl w:val="00000001"/>
    <w:lvl w:ilvl="0" w:tentative="0">
      <w:start w:val="1"/>
      <w:numFmt w:val="japaneseCounting"/>
      <w:pStyle w:val="3"/>
      <w:lvlText w:val="第%1章"/>
      <w:lvlJc w:val="left"/>
      <w:pPr>
        <w:ind w:left="5100" w:hanging="1320"/>
      </w:pPr>
      <w:rPr>
        <w:rFonts w:hint="default" w:ascii="黑体"/>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60"/>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5YTJjNzVkODBmZDJkZDU4MGNmN2U2MTgxMDA3YmEifQ=="/>
    <w:docVar w:name="KSO_WPS_MARK_KEY" w:val="b856d945-0b04-4c42-add4-6959caf7bc92"/>
  </w:docVars>
  <w:rsids>
    <w:rsidRoot w:val="00EF7A73"/>
    <w:rsid w:val="0000062D"/>
    <w:rsid w:val="00000CA2"/>
    <w:rsid w:val="00002392"/>
    <w:rsid w:val="00002A6C"/>
    <w:rsid w:val="000030D9"/>
    <w:rsid w:val="00005D4B"/>
    <w:rsid w:val="00006FA2"/>
    <w:rsid w:val="00010856"/>
    <w:rsid w:val="000110E8"/>
    <w:rsid w:val="0001145E"/>
    <w:rsid w:val="00012AC4"/>
    <w:rsid w:val="00013381"/>
    <w:rsid w:val="000135CD"/>
    <w:rsid w:val="00013A22"/>
    <w:rsid w:val="00015BE1"/>
    <w:rsid w:val="00016F4A"/>
    <w:rsid w:val="00020025"/>
    <w:rsid w:val="0002030B"/>
    <w:rsid w:val="00021B0D"/>
    <w:rsid w:val="0002211E"/>
    <w:rsid w:val="00022E52"/>
    <w:rsid w:val="00022E7A"/>
    <w:rsid w:val="00024368"/>
    <w:rsid w:val="000251F2"/>
    <w:rsid w:val="0002583B"/>
    <w:rsid w:val="00025854"/>
    <w:rsid w:val="000315CC"/>
    <w:rsid w:val="000326CD"/>
    <w:rsid w:val="00033B2A"/>
    <w:rsid w:val="00034392"/>
    <w:rsid w:val="000346E9"/>
    <w:rsid w:val="00034DDB"/>
    <w:rsid w:val="00035927"/>
    <w:rsid w:val="00035A81"/>
    <w:rsid w:val="000364E1"/>
    <w:rsid w:val="00037C93"/>
    <w:rsid w:val="00042012"/>
    <w:rsid w:val="00042D12"/>
    <w:rsid w:val="00043B9E"/>
    <w:rsid w:val="00045E30"/>
    <w:rsid w:val="0004602E"/>
    <w:rsid w:val="0004613C"/>
    <w:rsid w:val="000468DF"/>
    <w:rsid w:val="00050843"/>
    <w:rsid w:val="00051645"/>
    <w:rsid w:val="0005170C"/>
    <w:rsid w:val="00053443"/>
    <w:rsid w:val="00053906"/>
    <w:rsid w:val="00054047"/>
    <w:rsid w:val="000541B4"/>
    <w:rsid w:val="00055EE9"/>
    <w:rsid w:val="00056A36"/>
    <w:rsid w:val="00056C75"/>
    <w:rsid w:val="00060910"/>
    <w:rsid w:val="000614B0"/>
    <w:rsid w:val="000616E0"/>
    <w:rsid w:val="00061936"/>
    <w:rsid w:val="00061B12"/>
    <w:rsid w:val="00063D50"/>
    <w:rsid w:val="0006405E"/>
    <w:rsid w:val="000644B0"/>
    <w:rsid w:val="00071F9A"/>
    <w:rsid w:val="0007317A"/>
    <w:rsid w:val="000732E6"/>
    <w:rsid w:val="000742E9"/>
    <w:rsid w:val="0007470E"/>
    <w:rsid w:val="0007489C"/>
    <w:rsid w:val="00074BF2"/>
    <w:rsid w:val="00074C28"/>
    <w:rsid w:val="00077069"/>
    <w:rsid w:val="00077199"/>
    <w:rsid w:val="0008023C"/>
    <w:rsid w:val="000814BD"/>
    <w:rsid w:val="00081589"/>
    <w:rsid w:val="0008178D"/>
    <w:rsid w:val="0008258E"/>
    <w:rsid w:val="00082661"/>
    <w:rsid w:val="00083E41"/>
    <w:rsid w:val="000862C4"/>
    <w:rsid w:val="00090AA5"/>
    <w:rsid w:val="00090E93"/>
    <w:rsid w:val="00091D2B"/>
    <w:rsid w:val="000924AC"/>
    <w:rsid w:val="00093E21"/>
    <w:rsid w:val="000953B2"/>
    <w:rsid w:val="00097E18"/>
    <w:rsid w:val="000A08D5"/>
    <w:rsid w:val="000A1196"/>
    <w:rsid w:val="000A1DE4"/>
    <w:rsid w:val="000A4186"/>
    <w:rsid w:val="000A44EE"/>
    <w:rsid w:val="000A5E68"/>
    <w:rsid w:val="000A5F48"/>
    <w:rsid w:val="000A6653"/>
    <w:rsid w:val="000A6A28"/>
    <w:rsid w:val="000A71CE"/>
    <w:rsid w:val="000A7273"/>
    <w:rsid w:val="000A7987"/>
    <w:rsid w:val="000B066E"/>
    <w:rsid w:val="000B18F1"/>
    <w:rsid w:val="000B1DEA"/>
    <w:rsid w:val="000B2DD9"/>
    <w:rsid w:val="000B3ABA"/>
    <w:rsid w:val="000B44FC"/>
    <w:rsid w:val="000B5CD2"/>
    <w:rsid w:val="000B7CEB"/>
    <w:rsid w:val="000C1A03"/>
    <w:rsid w:val="000C1D88"/>
    <w:rsid w:val="000C2DDB"/>
    <w:rsid w:val="000C341E"/>
    <w:rsid w:val="000C4CEC"/>
    <w:rsid w:val="000C64C4"/>
    <w:rsid w:val="000C6510"/>
    <w:rsid w:val="000C7089"/>
    <w:rsid w:val="000C7C1D"/>
    <w:rsid w:val="000D02CF"/>
    <w:rsid w:val="000D0F1D"/>
    <w:rsid w:val="000D1D1A"/>
    <w:rsid w:val="000D1EF0"/>
    <w:rsid w:val="000D5A1F"/>
    <w:rsid w:val="000D5C59"/>
    <w:rsid w:val="000D6608"/>
    <w:rsid w:val="000D6F50"/>
    <w:rsid w:val="000D79E4"/>
    <w:rsid w:val="000E1F74"/>
    <w:rsid w:val="000E2860"/>
    <w:rsid w:val="000E38D2"/>
    <w:rsid w:val="000E72F4"/>
    <w:rsid w:val="000E78F1"/>
    <w:rsid w:val="000F0818"/>
    <w:rsid w:val="000F093E"/>
    <w:rsid w:val="000F0A38"/>
    <w:rsid w:val="000F0A49"/>
    <w:rsid w:val="000F22BA"/>
    <w:rsid w:val="000F2B8A"/>
    <w:rsid w:val="000F3219"/>
    <w:rsid w:val="000F3490"/>
    <w:rsid w:val="000F36B2"/>
    <w:rsid w:val="000F3E4F"/>
    <w:rsid w:val="000F4392"/>
    <w:rsid w:val="000F5130"/>
    <w:rsid w:val="000F5B42"/>
    <w:rsid w:val="000F6BEB"/>
    <w:rsid w:val="000F7078"/>
    <w:rsid w:val="000F767C"/>
    <w:rsid w:val="001012E2"/>
    <w:rsid w:val="0010301D"/>
    <w:rsid w:val="00103BF1"/>
    <w:rsid w:val="0010450A"/>
    <w:rsid w:val="001068F8"/>
    <w:rsid w:val="001111A4"/>
    <w:rsid w:val="001113EB"/>
    <w:rsid w:val="0011206F"/>
    <w:rsid w:val="0011346D"/>
    <w:rsid w:val="00113843"/>
    <w:rsid w:val="00113F93"/>
    <w:rsid w:val="00114395"/>
    <w:rsid w:val="00116060"/>
    <w:rsid w:val="001167C2"/>
    <w:rsid w:val="0011686E"/>
    <w:rsid w:val="00120892"/>
    <w:rsid w:val="00121247"/>
    <w:rsid w:val="00122564"/>
    <w:rsid w:val="00122FF6"/>
    <w:rsid w:val="0012329B"/>
    <w:rsid w:val="00125A34"/>
    <w:rsid w:val="001268E5"/>
    <w:rsid w:val="00126B7B"/>
    <w:rsid w:val="0012717D"/>
    <w:rsid w:val="00137EC1"/>
    <w:rsid w:val="0014061E"/>
    <w:rsid w:val="00143528"/>
    <w:rsid w:val="00143873"/>
    <w:rsid w:val="00143E21"/>
    <w:rsid w:val="001449D5"/>
    <w:rsid w:val="00145511"/>
    <w:rsid w:val="001464EA"/>
    <w:rsid w:val="00146557"/>
    <w:rsid w:val="00150BBF"/>
    <w:rsid w:val="0015118F"/>
    <w:rsid w:val="00152737"/>
    <w:rsid w:val="00154E19"/>
    <w:rsid w:val="00155077"/>
    <w:rsid w:val="001551D9"/>
    <w:rsid w:val="0015660F"/>
    <w:rsid w:val="00156AC4"/>
    <w:rsid w:val="00156F89"/>
    <w:rsid w:val="001608ED"/>
    <w:rsid w:val="0016103F"/>
    <w:rsid w:val="001613C0"/>
    <w:rsid w:val="001620F0"/>
    <w:rsid w:val="00163393"/>
    <w:rsid w:val="001647A6"/>
    <w:rsid w:val="00165A90"/>
    <w:rsid w:val="00165D6D"/>
    <w:rsid w:val="001663B4"/>
    <w:rsid w:val="00166DEA"/>
    <w:rsid w:val="00167867"/>
    <w:rsid w:val="00170CB3"/>
    <w:rsid w:val="00170F91"/>
    <w:rsid w:val="00171313"/>
    <w:rsid w:val="00172463"/>
    <w:rsid w:val="001729D3"/>
    <w:rsid w:val="00172D85"/>
    <w:rsid w:val="001735A3"/>
    <w:rsid w:val="00174C87"/>
    <w:rsid w:val="00174E05"/>
    <w:rsid w:val="0017521E"/>
    <w:rsid w:val="001763C4"/>
    <w:rsid w:val="001770D2"/>
    <w:rsid w:val="001837C7"/>
    <w:rsid w:val="001840B1"/>
    <w:rsid w:val="00185176"/>
    <w:rsid w:val="00185233"/>
    <w:rsid w:val="00185B5B"/>
    <w:rsid w:val="00187955"/>
    <w:rsid w:val="0019228B"/>
    <w:rsid w:val="00192668"/>
    <w:rsid w:val="00193CCA"/>
    <w:rsid w:val="00193EBB"/>
    <w:rsid w:val="00195360"/>
    <w:rsid w:val="00195C19"/>
    <w:rsid w:val="0019677D"/>
    <w:rsid w:val="001968AA"/>
    <w:rsid w:val="00196DDD"/>
    <w:rsid w:val="0019755B"/>
    <w:rsid w:val="001A0832"/>
    <w:rsid w:val="001A155E"/>
    <w:rsid w:val="001A50B5"/>
    <w:rsid w:val="001A51E9"/>
    <w:rsid w:val="001A5D2F"/>
    <w:rsid w:val="001A79F8"/>
    <w:rsid w:val="001A7B7A"/>
    <w:rsid w:val="001B515A"/>
    <w:rsid w:val="001C0267"/>
    <w:rsid w:val="001C05EE"/>
    <w:rsid w:val="001C12AB"/>
    <w:rsid w:val="001C2B58"/>
    <w:rsid w:val="001C2BF2"/>
    <w:rsid w:val="001C2DF8"/>
    <w:rsid w:val="001C4554"/>
    <w:rsid w:val="001C4D35"/>
    <w:rsid w:val="001C5CB5"/>
    <w:rsid w:val="001C7B22"/>
    <w:rsid w:val="001D0121"/>
    <w:rsid w:val="001D034D"/>
    <w:rsid w:val="001D0827"/>
    <w:rsid w:val="001D0A1E"/>
    <w:rsid w:val="001D2B9A"/>
    <w:rsid w:val="001D2E3B"/>
    <w:rsid w:val="001D3149"/>
    <w:rsid w:val="001D3536"/>
    <w:rsid w:val="001D3E84"/>
    <w:rsid w:val="001D54D1"/>
    <w:rsid w:val="001D709D"/>
    <w:rsid w:val="001E0216"/>
    <w:rsid w:val="001E0CFD"/>
    <w:rsid w:val="001E30C2"/>
    <w:rsid w:val="001E3804"/>
    <w:rsid w:val="001E4400"/>
    <w:rsid w:val="001E47D0"/>
    <w:rsid w:val="001E4BCF"/>
    <w:rsid w:val="001E570F"/>
    <w:rsid w:val="001E6CE7"/>
    <w:rsid w:val="001F0D9A"/>
    <w:rsid w:val="001F1546"/>
    <w:rsid w:val="001F1FAE"/>
    <w:rsid w:val="001F2A9F"/>
    <w:rsid w:val="001F2D3B"/>
    <w:rsid w:val="001F3729"/>
    <w:rsid w:val="001F49FC"/>
    <w:rsid w:val="00200032"/>
    <w:rsid w:val="002003F1"/>
    <w:rsid w:val="00200E61"/>
    <w:rsid w:val="00201A94"/>
    <w:rsid w:val="002024BC"/>
    <w:rsid w:val="0020399E"/>
    <w:rsid w:val="002048C5"/>
    <w:rsid w:val="00204C22"/>
    <w:rsid w:val="002064C1"/>
    <w:rsid w:val="00210A09"/>
    <w:rsid w:val="00212255"/>
    <w:rsid w:val="00212B4B"/>
    <w:rsid w:val="00214EE2"/>
    <w:rsid w:val="00216DDB"/>
    <w:rsid w:val="00216FCA"/>
    <w:rsid w:val="00221F7D"/>
    <w:rsid w:val="002220D6"/>
    <w:rsid w:val="00223500"/>
    <w:rsid w:val="00223531"/>
    <w:rsid w:val="00224C60"/>
    <w:rsid w:val="00225382"/>
    <w:rsid w:val="00226445"/>
    <w:rsid w:val="00226A09"/>
    <w:rsid w:val="00230ACF"/>
    <w:rsid w:val="00231577"/>
    <w:rsid w:val="00233FBD"/>
    <w:rsid w:val="0023460B"/>
    <w:rsid w:val="00235D3C"/>
    <w:rsid w:val="00237136"/>
    <w:rsid w:val="00237C3F"/>
    <w:rsid w:val="002406D7"/>
    <w:rsid w:val="00241FDC"/>
    <w:rsid w:val="0024222D"/>
    <w:rsid w:val="00242392"/>
    <w:rsid w:val="00243198"/>
    <w:rsid w:val="00245298"/>
    <w:rsid w:val="00245946"/>
    <w:rsid w:val="002467B3"/>
    <w:rsid w:val="00246CFE"/>
    <w:rsid w:val="002473E2"/>
    <w:rsid w:val="002474FB"/>
    <w:rsid w:val="002500B3"/>
    <w:rsid w:val="00250B77"/>
    <w:rsid w:val="00251638"/>
    <w:rsid w:val="002519DA"/>
    <w:rsid w:val="00252750"/>
    <w:rsid w:val="00252B08"/>
    <w:rsid w:val="00253C38"/>
    <w:rsid w:val="00254AC4"/>
    <w:rsid w:val="00255D9B"/>
    <w:rsid w:val="00260CE0"/>
    <w:rsid w:val="0026140B"/>
    <w:rsid w:val="00261CF6"/>
    <w:rsid w:val="00262E10"/>
    <w:rsid w:val="0026379C"/>
    <w:rsid w:val="00264F47"/>
    <w:rsid w:val="002655EC"/>
    <w:rsid w:val="00265C35"/>
    <w:rsid w:val="00267236"/>
    <w:rsid w:val="00267263"/>
    <w:rsid w:val="002705F4"/>
    <w:rsid w:val="0027153F"/>
    <w:rsid w:val="002760F4"/>
    <w:rsid w:val="002775E0"/>
    <w:rsid w:val="00277631"/>
    <w:rsid w:val="00282EA4"/>
    <w:rsid w:val="00283173"/>
    <w:rsid w:val="002839B3"/>
    <w:rsid w:val="00290188"/>
    <w:rsid w:val="00290398"/>
    <w:rsid w:val="002904CC"/>
    <w:rsid w:val="002907CD"/>
    <w:rsid w:val="002924D0"/>
    <w:rsid w:val="00292F72"/>
    <w:rsid w:val="00293910"/>
    <w:rsid w:val="002940AF"/>
    <w:rsid w:val="00295A6D"/>
    <w:rsid w:val="00296831"/>
    <w:rsid w:val="00296FE4"/>
    <w:rsid w:val="002977F0"/>
    <w:rsid w:val="00297875"/>
    <w:rsid w:val="002A178B"/>
    <w:rsid w:val="002A1815"/>
    <w:rsid w:val="002A1B62"/>
    <w:rsid w:val="002A29F9"/>
    <w:rsid w:val="002A3411"/>
    <w:rsid w:val="002A4AB0"/>
    <w:rsid w:val="002A4D30"/>
    <w:rsid w:val="002A5025"/>
    <w:rsid w:val="002A50E9"/>
    <w:rsid w:val="002A5529"/>
    <w:rsid w:val="002A560F"/>
    <w:rsid w:val="002A5C26"/>
    <w:rsid w:val="002A6060"/>
    <w:rsid w:val="002A6A6D"/>
    <w:rsid w:val="002A6F34"/>
    <w:rsid w:val="002A7424"/>
    <w:rsid w:val="002A76D0"/>
    <w:rsid w:val="002B077F"/>
    <w:rsid w:val="002B1068"/>
    <w:rsid w:val="002B1E2F"/>
    <w:rsid w:val="002B2368"/>
    <w:rsid w:val="002B2B4D"/>
    <w:rsid w:val="002B52A1"/>
    <w:rsid w:val="002B5318"/>
    <w:rsid w:val="002B5D26"/>
    <w:rsid w:val="002B6533"/>
    <w:rsid w:val="002B69DE"/>
    <w:rsid w:val="002C03E5"/>
    <w:rsid w:val="002C0479"/>
    <w:rsid w:val="002C0B2A"/>
    <w:rsid w:val="002C3E2C"/>
    <w:rsid w:val="002C4E26"/>
    <w:rsid w:val="002D0355"/>
    <w:rsid w:val="002D110A"/>
    <w:rsid w:val="002D5725"/>
    <w:rsid w:val="002D6339"/>
    <w:rsid w:val="002D7D00"/>
    <w:rsid w:val="002D7FDC"/>
    <w:rsid w:val="002E0EF4"/>
    <w:rsid w:val="002E29A1"/>
    <w:rsid w:val="002E356B"/>
    <w:rsid w:val="002E3F4A"/>
    <w:rsid w:val="002E4018"/>
    <w:rsid w:val="002E43D4"/>
    <w:rsid w:val="002E4965"/>
    <w:rsid w:val="002E5BB0"/>
    <w:rsid w:val="002E686E"/>
    <w:rsid w:val="002E6B17"/>
    <w:rsid w:val="002E6EDD"/>
    <w:rsid w:val="002E7792"/>
    <w:rsid w:val="002E7F83"/>
    <w:rsid w:val="002F07A8"/>
    <w:rsid w:val="002F2421"/>
    <w:rsid w:val="002F29D2"/>
    <w:rsid w:val="002F2DC9"/>
    <w:rsid w:val="002F419E"/>
    <w:rsid w:val="002F6030"/>
    <w:rsid w:val="002F6CAA"/>
    <w:rsid w:val="002F6F98"/>
    <w:rsid w:val="0030023C"/>
    <w:rsid w:val="00302D90"/>
    <w:rsid w:val="00302FEE"/>
    <w:rsid w:val="003030E9"/>
    <w:rsid w:val="00305490"/>
    <w:rsid w:val="00306AFF"/>
    <w:rsid w:val="0031011E"/>
    <w:rsid w:val="00311541"/>
    <w:rsid w:val="00311AB0"/>
    <w:rsid w:val="003129CE"/>
    <w:rsid w:val="00313365"/>
    <w:rsid w:val="00315804"/>
    <w:rsid w:val="00316DE4"/>
    <w:rsid w:val="00321FB2"/>
    <w:rsid w:val="003225B8"/>
    <w:rsid w:val="0032293E"/>
    <w:rsid w:val="00323B22"/>
    <w:rsid w:val="00324043"/>
    <w:rsid w:val="00324F06"/>
    <w:rsid w:val="00324F27"/>
    <w:rsid w:val="00326AFB"/>
    <w:rsid w:val="00326BF6"/>
    <w:rsid w:val="00326FC1"/>
    <w:rsid w:val="00330DE6"/>
    <w:rsid w:val="00331560"/>
    <w:rsid w:val="00333F9C"/>
    <w:rsid w:val="00336DB6"/>
    <w:rsid w:val="003370A2"/>
    <w:rsid w:val="0034010B"/>
    <w:rsid w:val="00340322"/>
    <w:rsid w:val="0034063D"/>
    <w:rsid w:val="00340D95"/>
    <w:rsid w:val="003413B9"/>
    <w:rsid w:val="00341AC2"/>
    <w:rsid w:val="00341F4B"/>
    <w:rsid w:val="0034203B"/>
    <w:rsid w:val="00342190"/>
    <w:rsid w:val="00342449"/>
    <w:rsid w:val="00342C71"/>
    <w:rsid w:val="00343533"/>
    <w:rsid w:val="00343FC2"/>
    <w:rsid w:val="00344D3F"/>
    <w:rsid w:val="00345C31"/>
    <w:rsid w:val="00345E2F"/>
    <w:rsid w:val="00345F74"/>
    <w:rsid w:val="00346C17"/>
    <w:rsid w:val="003473DB"/>
    <w:rsid w:val="003477AF"/>
    <w:rsid w:val="00350A02"/>
    <w:rsid w:val="00350C0D"/>
    <w:rsid w:val="00350EF0"/>
    <w:rsid w:val="00351190"/>
    <w:rsid w:val="003515FA"/>
    <w:rsid w:val="00351B3D"/>
    <w:rsid w:val="00351CBD"/>
    <w:rsid w:val="00351D5A"/>
    <w:rsid w:val="00354BDF"/>
    <w:rsid w:val="00354EC4"/>
    <w:rsid w:val="00355653"/>
    <w:rsid w:val="00355ED2"/>
    <w:rsid w:val="00357CD4"/>
    <w:rsid w:val="00361AA8"/>
    <w:rsid w:val="003631EB"/>
    <w:rsid w:val="003663AD"/>
    <w:rsid w:val="003718A4"/>
    <w:rsid w:val="0037264C"/>
    <w:rsid w:val="003728EE"/>
    <w:rsid w:val="003740EF"/>
    <w:rsid w:val="00374147"/>
    <w:rsid w:val="003745E1"/>
    <w:rsid w:val="00374899"/>
    <w:rsid w:val="00375421"/>
    <w:rsid w:val="00377240"/>
    <w:rsid w:val="00380845"/>
    <w:rsid w:val="00380C2F"/>
    <w:rsid w:val="00381D83"/>
    <w:rsid w:val="00382FE9"/>
    <w:rsid w:val="00385696"/>
    <w:rsid w:val="00385749"/>
    <w:rsid w:val="00390647"/>
    <w:rsid w:val="00391247"/>
    <w:rsid w:val="003912D4"/>
    <w:rsid w:val="00391618"/>
    <w:rsid w:val="00391652"/>
    <w:rsid w:val="00391669"/>
    <w:rsid w:val="00391F13"/>
    <w:rsid w:val="00392A02"/>
    <w:rsid w:val="0039490E"/>
    <w:rsid w:val="0039538D"/>
    <w:rsid w:val="00397E50"/>
    <w:rsid w:val="003A00B3"/>
    <w:rsid w:val="003A09A2"/>
    <w:rsid w:val="003A0F7C"/>
    <w:rsid w:val="003A144F"/>
    <w:rsid w:val="003A3475"/>
    <w:rsid w:val="003A4023"/>
    <w:rsid w:val="003A42FA"/>
    <w:rsid w:val="003A47E7"/>
    <w:rsid w:val="003A5BEC"/>
    <w:rsid w:val="003A7042"/>
    <w:rsid w:val="003B0193"/>
    <w:rsid w:val="003B0452"/>
    <w:rsid w:val="003B0785"/>
    <w:rsid w:val="003B13A6"/>
    <w:rsid w:val="003B1453"/>
    <w:rsid w:val="003B4DB0"/>
    <w:rsid w:val="003B6634"/>
    <w:rsid w:val="003C1409"/>
    <w:rsid w:val="003C1718"/>
    <w:rsid w:val="003C1DA8"/>
    <w:rsid w:val="003C360B"/>
    <w:rsid w:val="003C41D3"/>
    <w:rsid w:val="003C4745"/>
    <w:rsid w:val="003C522A"/>
    <w:rsid w:val="003C5B44"/>
    <w:rsid w:val="003C602D"/>
    <w:rsid w:val="003C61FE"/>
    <w:rsid w:val="003C6788"/>
    <w:rsid w:val="003C7A93"/>
    <w:rsid w:val="003D094E"/>
    <w:rsid w:val="003D0DDA"/>
    <w:rsid w:val="003D11F1"/>
    <w:rsid w:val="003D1B36"/>
    <w:rsid w:val="003D2158"/>
    <w:rsid w:val="003D2855"/>
    <w:rsid w:val="003D37FD"/>
    <w:rsid w:val="003D5126"/>
    <w:rsid w:val="003D5623"/>
    <w:rsid w:val="003D5928"/>
    <w:rsid w:val="003D7599"/>
    <w:rsid w:val="003E0174"/>
    <w:rsid w:val="003E064D"/>
    <w:rsid w:val="003E24CF"/>
    <w:rsid w:val="003E2CC7"/>
    <w:rsid w:val="003E2D64"/>
    <w:rsid w:val="003E2F22"/>
    <w:rsid w:val="003E378A"/>
    <w:rsid w:val="003E3D0A"/>
    <w:rsid w:val="003E551B"/>
    <w:rsid w:val="003E55D2"/>
    <w:rsid w:val="003E5676"/>
    <w:rsid w:val="003E6C90"/>
    <w:rsid w:val="003E7EA9"/>
    <w:rsid w:val="003F0336"/>
    <w:rsid w:val="003F04D6"/>
    <w:rsid w:val="003F3285"/>
    <w:rsid w:val="003F32F1"/>
    <w:rsid w:val="003F34C7"/>
    <w:rsid w:val="003F48AE"/>
    <w:rsid w:val="003F5139"/>
    <w:rsid w:val="003F52A2"/>
    <w:rsid w:val="003F5C40"/>
    <w:rsid w:val="003F6BA9"/>
    <w:rsid w:val="003F75EF"/>
    <w:rsid w:val="00400394"/>
    <w:rsid w:val="0040039B"/>
    <w:rsid w:val="00401163"/>
    <w:rsid w:val="0040191B"/>
    <w:rsid w:val="00401A36"/>
    <w:rsid w:val="00401F3F"/>
    <w:rsid w:val="00402A5B"/>
    <w:rsid w:val="00402B8B"/>
    <w:rsid w:val="00402C3B"/>
    <w:rsid w:val="00403038"/>
    <w:rsid w:val="004049D3"/>
    <w:rsid w:val="0040601F"/>
    <w:rsid w:val="004063C4"/>
    <w:rsid w:val="00406861"/>
    <w:rsid w:val="0041197F"/>
    <w:rsid w:val="004143E4"/>
    <w:rsid w:val="00414E8D"/>
    <w:rsid w:val="00416CC3"/>
    <w:rsid w:val="00416EF0"/>
    <w:rsid w:val="004172FB"/>
    <w:rsid w:val="0042022C"/>
    <w:rsid w:val="00420359"/>
    <w:rsid w:val="004207AF"/>
    <w:rsid w:val="00422F3E"/>
    <w:rsid w:val="00423481"/>
    <w:rsid w:val="004246E6"/>
    <w:rsid w:val="0042479D"/>
    <w:rsid w:val="00424F97"/>
    <w:rsid w:val="00425196"/>
    <w:rsid w:val="00427518"/>
    <w:rsid w:val="00430042"/>
    <w:rsid w:val="00430151"/>
    <w:rsid w:val="0043019B"/>
    <w:rsid w:val="00430976"/>
    <w:rsid w:val="00430E36"/>
    <w:rsid w:val="0043165F"/>
    <w:rsid w:val="00431784"/>
    <w:rsid w:val="00432D84"/>
    <w:rsid w:val="00433442"/>
    <w:rsid w:val="00433C45"/>
    <w:rsid w:val="00437BD2"/>
    <w:rsid w:val="00437DDF"/>
    <w:rsid w:val="00440A79"/>
    <w:rsid w:val="00440AFC"/>
    <w:rsid w:val="004425ED"/>
    <w:rsid w:val="0044268A"/>
    <w:rsid w:val="004432C9"/>
    <w:rsid w:val="0044331C"/>
    <w:rsid w:val="004457AF"/>
    <w:rsid w:val="00445D86"/>
    <w:rsid w:val="00446CBC"/>
    <w:rsid w:val="00447F4F"/>
    <w:rsid w:val="00452EF9"/>
    <w:rsid w:val="00453408"/>
    <w:rsid w:val="0045371B"/>
    <w:rsid w:val="00453B9A"/>
    <w:rsid w:val="00453E28"/>
    <w:rsid w:val="0045464F"/>
    <w:rsid w:val="00454942"/>
    <w:rsid w:val="00456FC3"/>
    <w:rsid w:val="00460186"/>
    <w:rsid w:val="004605E3"/>
    <w:rsid w:val="00463250"/>
    <w:rsid w:val="004632BB"/>
    <w:rsid w:val="0046755D"/>
    <w:rsid w:val="00470398"/>
    <w:rsid w:val="004718E1"/>
    <w:rsid w:val="00472561"/>
    <w:rsid w:val="00472690"/>
    <w:rsid w:val="0047305B"/>
    <w:rsid w:val="0047324C"/>
    <w:rsid w:val="00473F1C"/>
    <w:rsid w:val="00474C76"/>
    <w:rsid w:val="004753AA"/>
    <w:rsid w:val="004778BE"/>
    <w:rsid w:val="00480D67"/>
    <w:rsid w:val="004812BF"/>
    <w:rsid w:val="0048155A"/>
    <w:rsid w:val="00482BC3"/>
    <w:rsid w:val="004833ED"/>
    <w:rsid w:val="004838D3"/>
    <w:rsid w:val="00485060"/>
    <w:rsid w:val="004865AC"/>
    <w:rsid w:val="00487D97"/>
    <w:rsid w:val="00491650"/>
    <w:rsid w:val="00491DC2"/>
    <w:rsid w:val="00493178"/>
    <w:rsid w:val="00493285"/>
    <w:rsid w:val="0049460D"/>
    <w:rsid w:val="0049506F"/>
    <w:rsid w:val="00496FD0"/>
    <w:rsid w:val="004977B1"/>
    <w:rsid w:val="004A19D3"/>
    <w:rsid w:val="004A2220"/>
    <w:rsid w:val="004A2441"/>
    <w:rsid w:val="004A3631"/>
    <w:rsid w:val="004A372D"/>
    <w:rsid w:val="004A4745"/>
    <w:rsid w:val="004A4A41"/>
    <w:rsid w:val="004A52A3"/>
    <w:rsid w:val="004A5879"/>
    <w:rsid w:val="004A5FCC"/>
    <w:rsid w:val="004A5FEE"/>
    <w:rsid w:val="004A60C5"/>
    <w:rsid w:val="004A6E89"/>
    <w:rsid w:val="004A744A"/>
    <w:rsid w:val="004A765B"/>
    <w:rsid w:val="004B0565"/>
    <w:rsid w:val="004B0728"/>
    <w:rsid w:val="004B0E2D"/>
    <w:rsid w:val="004B2D37"/>
    <w:rsid w:val="004B3943"/>
    <w:rsid w:val="004B3974"/>
    <w:rsid w:val="004B56B7"/>
    <w:rsid w:val="004B5B57"/>
    <w:rsid w:val="004B704F"/>
    <w:rsid w:val="004B7F9B"/>
    <w:rsid w:val="004C0CE1"/>
    <w:rsid w:val="004C2115"/>
    <w:rsid w:val="004C5C75"/>
    <w:rsid w:val="004C5CCC"/>
    <w:rsid w:val="004C636E"/>
    <w:rsid w:val="004C72AE"/>
    <w:rsid w:val="004D033D"/>
    <w:rsid w:val="004D09B8"/>
    <w:rsid w:val="004D1B0C"/>
    <w:rsid w:val="004D1D83"/>
    <w:rsid w:val="004D1E9F"/>
    <w:rsid w:val="004D4F2D"/>
    <w:rsid w:val="004D534A"/>
    <w:rsid w:val="004D56CB"/>
    <w:rsid w:val="004E0860"/>
    <w:rsid w:val="004E0DC4"/>
    <w:rsid w:val="004E1176"/>
    <w:rsid w:val="004E18EB"/>
    <w:rsid w:val="004E1D97"/>
    <w:rsid w:val="004E315E"/>
    <w:rsid w:val="004E3387"/>
    <w:rsid w:val="004E346B"/>
    <w:rsid w:val="004E3677"/>
    <w:rsid w:val="004E4BDB"/>
    <w:rsid w:val="004E50AF"/>
    <w:rsid w:val="004E5949"/>
    <w:rsid w:val="004E5E0C"/>
    <w:rsid w:val="004E617A"/>
    <w:rsid w:val="004E64A0"/>
    <w:rsid w:val="004E7E8E"/>
    <w:rsid w:val="004F05D0"/>
    <w:rsid w:val="004F144E"/>
    <w:rsid w:val="004F1658"/>
    <w:rsid w:val="004F2EAD"/>
    <w:rsid w:val="004F3A92"/>
    <w:rsid w:val="004F3B50"/>
    <w:rsid w:val="004F44B2"/>
    <w:rsid w:val="004F5813"/>
    <w:rsid w:val="004F6BA0"/>
    <w:rsid w:val="004F7455"/>
    <w:rsid w:val="004F7C57"/>
    <w:rsid w:val="004F7F8A"/>
    <w:rsid w:val="00500D31"/>
    <w:rsid w:val="0050296C"/>
    <w:rsid w:val="00502AA7"/>
    <w:rsid w:val="005031DF"/>
    <w:rsid w:val="00503901"/>
    <w:rsid w:val="00504EAC"/>
    <w:rsid w:val="005057B2"/>
    <w:rsid w:val="0050684F"/>
    <w:rsid w:val="005071FC"/>
    <w:rsid w:val="00507574"/>
    <w:rsid w:val="00510866"/>
    <w:rsid w:val="00511BAE"/>
    <w:rsid w:val="005173BE"/>
    <w:rsid w:val="00517C32"/>
    <w:rsid w:val="005215E7"/>
    <w:rsid w:val="0052183D"/>
    <w:rsid w:val="00521E8B"/>
    <w:rsid w:val="005243C8"/>
    <w:rsid w:val="00524810"/>
    <w:rsid w:val="00524F21"/>
    <w:rsid w:val="00525C6C"/>
    <w:rsid w:val="00526B20"/>
    <w:rsid w:val="0052777D"/>
    <w:rsid w:val="005303DA"/>
    <w:rsid w:val="00530BC5"/>
    <w:rsid w:val="0053103E"/>
    <w:rsid w:val="00531DB7"/>
    <w:rsid w:val="00531E09"/>
    <w:rsid w:val="005333E4"/>
    <w:rsid w:val="00534543"/>
    <w:rsid w:val="00534F1E"/>
    <w:rsid w:val="00535A23"/>
    <w:rsid w:val="0054107C"/>
    <w:rsid w:val="005444D2"/>
    <w:rsid w:val="00544E76"/>
    <w:rsid w:val="0054730A"/>
    <w:rsid w:val="00550175"/>
    <w:rsid w:val="0055127F"/>
    <w:rsid w:val="00554E25"/>
    <w:rsid w:val="00555A61"/>
    <w:rsid w:val="00561B85"/>
    <w:rsid w:val="0056217F"/>
    <w:rsid w:val="0056530F"/>
    <w:rsid w:val="005653D2"/>
    <w:rsid w:val="00566A81"/>
    <w:rsid w:val="005670C8"/>
    <w:rsid w:val="005678DF"/>
    <w:rsid w:val="00570172"/>
    <w:rsid w:val="00570870"/>
    <w:rsid w:val="00571315"/>
    <w:rsid w:val="0057402F"/>
    <w:rsid w:val="005740E1"/>
    <w:rsid w:val="0057410D"/>
    <w:rsid w:val="00575974"/>
    <w:rsid w:val="00577365"/>
    <w:rsid w:val="0057780C"/>
    <w:rsid w:val="00581FF1"/>
    <w:rsid w:val="00582970"/>
    <w:rsid w:val="00582B77"/>
    <w:rsid w:val="005839DC"/>
    <w:rsid w:val="00583A0B"/>
    <w:rsid w:val="00585558"/>
    <w:rsid w:val="005874F4"/>
    <w:rsid w:val="00587675"/>
    <w:rsid w:val="005908CC"/>
    <w:rsid w:val="005911D6"/>
    <w:rsid w:val="005918C3"/>
    <w:rsid w:val="005918DD"/>
    <w:rsid w:val="00591BBC"/>
    <w:rsid w:val="00591C19"/>
    <w:rsid w:val="00592530"/>
    <w:rsid w:val="0059307B"/>
    <w:rsid w:val="005942AA"/>
    <w:rsid w:val="00595C25"/>
    <w:rsid w:val="00596B4C"/>
    <w:rsid w:val="00597B2F"/>
    <w:rsid w:val="005A2715"/>
    <w:rsid w:val="005A2A14"/>
    <w:rsid w:val="005A2C1D"/>
    <w:rsid w:val="005A5276"/>
    <w:rsid w:val="005B1121"/>
    <w:rsid w:val="005B18FB"/>
    <w:rsid w:val="005B1D9B"/>
    <w:rsid w:val="005B1EDD"/>
    <w:rsid w:val="005B28BA"/>
    <w:rsid w:val="005B2B61"/>
    <w:rsid w:val="005B38ED"/>
    <w:rsid w:val="005B4115"/>
    <w:rsid w:val="005B453D"/>
    <w:rsid w:val="005B49C3"/>
    <w:rsid w:val="005B5E87"/>
    <w:rsid w:val="005B7AA4"/>
    <w:rsid w:val="005B7B5E"/>
    <w:rsid w:val="005B7C19"/>
    <w:rsid w:val="005C1720"/>
    <w:rsid w:val="005C2320"/>
    <w:rsid w:val="005C36C7"/>
    <w:rsid w:val="005C54A8"/>
    <w:rsid w:val="005C645C"/>
    <w:rsid w:val="005C659C"/>
    <w:rsid w:val="005D00C0"/>
    <w:rsid w:val="005D05C5"/>
    <w:rsid w:val="005D05E3"/>
    <w:rsid w:val="005D09E6"/>
    <w:rsid w:val="005D09F7"/>
    <w:rsid w:val="005D0FBE"/>
    <w:rsid w:val="005D0FC2"/>
    <w:rsid w:val="005D7EA1"/>
    <w:rsid w:val="005E123B"/>
    <w:rsid w:val="005E42E4"/>
    <w:rsid w:val="005E4681"/>
    <w:rsid w:val="005E74A1"/>
    <w:rsid w:val="005F0A9C"/>
    <w:rsid w:val="005F48EB"/>
    <w:rsid w:val="005F51F5"/>
    <w:rsid w:val="005F6A7B"/>
    <w:rsid w:val="005F74AC"/>
    <w:rsid w:val="006006B2"/>
    <w:rsid w:val="00600A46"/>
    <w:rsid w:val="00602DF6"/>
    <w:rsid w:val="006039A8"/>
    <w:rsid w:val="00605941"/>
    <w:rsid w:val="00607014"/>
    <w:rsid w:val="006073C4"/>
    <w:rsid w:val="006075B4"/>
    <w:rsid w:val="00607F33"/>
    <w:rsid w:val="006112E2"/>
    <w:rsid w:val="00611985"/>
    <w:rsid w:val="00611E6F"/>
    <w:rsid w:val="006133B1"/>
    <w:rsid w:val="0061406C"/>
    <w:rsid w:val="0061722A"/>
    <w:rsid w:val="00617829"/>
    <w:rsid w:val="006209E5"/>
    <w:rsid w:val="00620F77"/>
    <w:rsid w:val="006213DB"/>
    <w:rsid w:val="0062387A"/>
    <w:rsid w:val="00624788"/>
    <w:rsid w:val="00627355"/>
    <w:rsid w:val="00627A3D"/>
    <w:rsid w:val="006304E9"/>
    <w:rsid w:val="006312B6"/>
    <w:rsid w:val="0063132F"/>
    <w:rsid w:val="006316A1"/>
    <w:rsid w:val="0063185E"/>
    <w:rsid w:val="00632EE8"/>
    <w:rsid w:val="00633E41"/>
    <w:rsid w:val="00635B0F"/>
    <w:rsid w:val="006368AC"/>
    <w:rsid w:val="00640A64"/>
    <w:rsid w:val="006414AB"/>
    <w:rsid w:val="00646C3E"/>
    <w:rsid w:val="00647115"/>
    <w:rsid w:val="00647779"/>
    <w:rsid w:val="00647FE0"/>
    <w:rsid w:val="00650D0A"/>
    <w:rsid w:val="00651CE8"/>
    <w:rsid w:val="0065334B"/>
    <w:rsid w:val="00653C37"/>
    <w:rsid w:val="00654807"/>
    <w:rsid w:val="00655A46"/>
    <w:rsid w:val="006563A9"/>
    <w:rsid w:val="00657041"/>
    <w:rsid w:val="006607B3"/>
    <w:rsid w:val="00660963"/>
    <w:rsid w:val="0066210E"/>
    <w:rsid w:val="0066273D"/>
    <w:rsid w:val="00664E17"/>
    <w:rsid w:val="006665AC"/>
    <w:rsid w:val="006666AE"/>
    <w:rsid w:val="00666AC2"/>
    <w:rsid w:val="006712B6"/>
    <w:rsid w:val="00671B22"/>
    <w:rsid w:val="00672843"/>
    <w:rsid w:val="00673EFD"/>
    <w:rsid w:val="006754D7"/>
    <w:rsid w:val="006761C9"/>
    <w:rsid w:val="00676494"/>
    <w:rsid w:val="006764F3"/>
    <w:rsid w:val="00677300"/>
    <w:rsid w:val="00677FDA"/>
    <w:rsid w:val="00682837"/>
    <w:rsid w:val="006843D4"/>
    <w:rsid w:val="00685572"/>
    <w:rsid w:val="00685AA0"/>
    <w:rsid w:val="00687EC3"/>
    <w:rsid w:val="00690AD0"/>
    <w:rsid w:val="00692777"/>
    <w:rsid w:val="0069349B"/>
    <w:rsid w:val="00693AC7"/>
    <w:rsid w:val="006941F0"/>
    <w:rsid w:val="00694F6A"/>
    <w:rsid w:val="0069539F"/>
    <w:rsid w:val="00695535"/>
    <w:rsid w:val="0069590D"/>
    <w:rsid w:val="0069708A"/>
    <w:rsid w:val="0069743E"/>
    <w:rsid w:val="006A0803"/>
    <w:rsid w:val="006A0C56"/>
    <w:rsid w:val="006A1AA3"/>
    <w:rsid w:val="006A26DC"/>
    <w:rsid w:val="006A387F"/>
    <w:rsid w:val="006A4147"/>
    <w:rsid w:val="006A41C2"/>
    <w:rsid w:val="006A4938"/>
    <w:rsid w:val="006A5228"/>
    <w:rsid w:val="006A6684"/>
    <w:rsid w:val="006A69D2"/>
    <w:rsid w:val="006A7316"/>
    <w:rsid w:val="006A7880"/>
    <w:rsid w:val="006B03B6"/>
    <w:rsid w:val="006B19F2"/>
    <w:rsid w:val="006B1BF2"/>
    <w:rsid w:val="006B2835"/>
    <w:rsid w:val="006B356F"/>
    <w:rsid w:val="006B42D1"/>
    <w:rsid w:val="006B576F"/>
    <w:rsid w:val="006B7129"/>
    <w:rsid w:val="006B799B"/>
    <w:rsid w:val="006C09AD"/>
    <w:rsid w:val="006C0F52"/>
    <w:rsid w:val="006C1BC3"/>
    <w:rsid w:val="006C22CB"/>
    <w:rsid w:val="006C352F"/>
    <w:rsid w:val="006C381E"/>
    <w:rsid w:val="006C4CCE"/>
    <w:rsid w:val="006C4F14"/>
    <w:rsid w:val="006C5401"/>
    <w:rsid w:val="006C558F"/>
    <w:rsid w:val="006C64BA"/>
    <w:rsid w:val="006C685D"/>
    <w:rsid w:val="006C6C63"/>
    <w:rsid w:val="006C6E28"/>
    <w:rsid w:val="006C71B1"/>
    <w:rsid w:val="006D0D56"/>
    <w:rsid w:val="006D15A5"/>
    <w:rsid w:val="006D17E5"/>
    <w:rsid w:val="006D2B7D"/>
    <w:rsid w:val="006D33E0"/>
    <w:rsid w:val="006D36A1"/>
    <w:rsid w:val="006D4CB5"/>
    <w:rsid w:val="006D5301"/>
    <w:rsid w:val="006D5636"/>
    <w:rsid w:val="006D5A10"/>
    <w:rsid w:val="006D5E40"/>
    <w:rsid w:val="006D6F3C"/>
    <w:rsid w:val="006E1AB9"/>
    <w:rsid w:val="006E1B24"/>
    <w:rsid w:val="006E342B"/>
    <w:rsid w:val="006E447B"/>
    <w:rsid w:val="006E44CC"/>
    <w:rsid w:val="006E6111"/>
    <w:rsid w:val="006E757E"/>
    <w:rsid w:val="006F033F"/>
    <w:rsid w:val="006F27AB"/>
    <w:rsid w:val="006F52BA"/>
    <w:rsid w:val="006F6CF0"/>
    <w:rsid w:val="006F7E35"/>
    <w:rsid w:val="00700B2B"/>
    <w:rsid w:val="00700CA0"/>
    <w:rsid w:val="00701F0A"/>
    <w:rsid w:val="00702230"/>
    <w:rsid w:val="0070234F"/>
    <w:rsid w:val="0070362F"/>
    <w:rsid w:val="0070518B"/>
    <w:rsid w:val="0070556D"/>
    <w:rsid w:val="00705A63"/>
    <w:rsid w:val="00705AF0"/>
    <w:rsid w:val="00706591"/>
    <w:rsid w:val="00706A4F"/>
    <w:rsid w:val="00707FCF"/>
    <w:rsid w:val="00712B02"/>
    <w:rsid w:val="00712F51"/>
    <w:rsid w:val="00714554"/>
    <w:rsid w:val="00714F5B"/>
    <w:rsid w:val="007168C9"/>
    <w:rsid w:val="007171DF"/>
    <w:rsid w:val="00720443"/>
    <w:rsid w:val="00720FE0"/>
    <w:rsid w:val="00721FDD"/>
    <w:rsid w:val="00722F80"/>
    <w:rsid w:val="007230EE"/>
    <w:rsid w:val="007238A2"/>
    <w:rsid w:val="007244FF"/>
    <w:rsid w:val="00725A69"/>
    <w:rsid w:val="007270D9"/>
    <w:rsid w:val="0072794A"/>
    <w:rsid w:val="00727A42"/>
    <w:rsid w:val="00732AF5"/>
    <w:rsid w:val="00733E47"/>
    <w:rsid w:val="00734434"/>
    <w:rsid w:val="00734C9B"/>
    <w:rsid w:val="00735618"/>
    <w:rsid w:val="00735739"/>
    <w:rsid w:val="00735F98"/>
    <w:rsid w:val="00737D42"/>
    <w:rsid w:val="00737E20"/>
    <w:rsid w:val="007403C1"/>
    <w:rsid w:val="0074042E"/>
    <w:rsid w:val="00741380"/>
    <w:rsid w:val="0074210B"/>
    <w:rsid w:val="00742374"/>
    <w:rsid w:val="00742822"/>
    <w:rsid w:val="007430CB"/>
    <w:rsid w:val="00743EF5"/>
    <w:rsid w:val="00743F4A"/>
    <w:rsid w:val="0074412A"/>
    <w:rsid w:val="0074467A"/>
    <w:rsid w:val="00744FD7"/>
    <w:rsid w:val="00750976"/>
    <w:rsid w:val="0075200B"/>
    <w:rsid w:val="00752034"/>
    <w:rsid w:val="0075441D"/>
    <w:rsid w:val="00754797"/>
    <w:rsid w:val="007549FC"/>
    <w:rsid w:val="00757C82"/>
    <w:rsid w:val="00761432"/>
    <w:rsid w:val="0076169A"/>
    <w:rsid w:val="00761B32"/>
    <w:rsid w:val="00764BAA"/>
    <w:rsid w:val="00764BBB"/>
    <w:rsid w:val="00764CC4"/>
    <w:rsid w:val="00765B57"/>
    <w:rsid w:val="007673E2"/>
    <w:rsid w:val="00767A53"/>
    <w:rsid w:val="00771745"/>
    <w:rsid w:val="00771965"/>
    <w:rsid w:val="007748C2"/>
    <w:rsid w:val="00774A8F"/>
    <w:rsid w:val="00775285"/>
    <w:rsid w:val="00775B13"/>
    <w:rsid w:val="00775E71"/>
    <w:rsid w:val="00776071"/>
    <w:rsid w:val="007772DA"/>
    <w:rsid w:val="007773C1"/>
    <w:rsid w:val="007811C5"/>
    <w:rsid w:val="00781453"/>
    <w:rsid w:val="00781A94"/>
    <w:rsid w:val="00781C09"/>
    <w:rsid w:val="007820B6"/>
    <w:rsid w:val="007822D2"/>
    <w:rsid w:val="00782878"/>
    <w:rsid w:val="00785717"/>
    <w:rsid w:val="007859B1"/>
    <w:rsid w:val="00785FF1"/>
    <w:rsid w:val="00786533"/>
    <w:rsid w:val="0078798D"/>
    <w:rsid w:val="00787AC0"/>
    <w:rsid w:val="00787DFC"/>
    <w:rsid w:val="0079137A"/>
    <w:rsid w:val="0079289F"/>
    <w:rsid w:val="00792C4A"/>
    <w:rsid w:val="00792CED"/>
    <w:rsid w:val="00793381"/>
    <w:rsid w:val="00793852"/>
    <w:rsid w:val="007951F3"/>
    <w:rsid w:val="00795C87"/>
    <w:rsid w:val="00795DD5"/>
    <w:rsid w:val="00796A36"/>
    <w:rsid w:val="007972CE"/>
    <w:rsid w:val="007978C8"/>
    <w:rsid w:val="00797C81"/>
    <w:rsid w:val="007A1084"/>
    <w:rsid w:val="007A2D7D"/>
    <w:rsid w:val="007A396B"/>
    <w:rsid w:val="007A42C6"/>
    <w:rsid w:val="007A49F0"/>
    <w:rsid w:val="007A4D62"/>
    <w:rsid w:val="007A6550"/>
    <w:rsid w:val="007A6B8D"/>
    <w:rsid w:val="007A7797"/>
    <w:rsid w:val="007A7E9C"/>
    <w:rsid w:val="007B07EC"/>
    <w:rsid w:val="007B0E9B"/>
    <w:rsid w:val="007B2980"/>
    <w:rsid w:val="007B2E73"/>
    <w:rsid w:val="007B4BFA"/>
    <w:rsid w:val="007B5004"/>
    <w:rsid w:val="007C075A"/>
    <w:rsid w:val="007C1438"/>
    <w:rsid w:val="007C2065"/>
    <w:rsid w:val="007C27A3"/>
    <w:rsid w:val="007C3ABB"/>
    <w:rsid w:val="007C47AA"/>
    <w:rsid w:val="007C6352"/>
    <w:rsid w:val="007C6AD7"/>
    <w:rsid w:val="007C7338"/>
    <w:rsid w:val="007C737B"/>
    <w:rsid w:val="007C7922"/>
    <w:rsid w:val="007C7AE4"/>
    <w:rsid w:val="007C7B7A"/>
    <w:rsid w:val="007D02CF"/>
    <w:rsid w:val="007D0AB6"/>
    <w:rsid w:val="007D1824"/>
    <w:rsid w:val="007D1A74"/>
    <w:rsid w:val="007D1E5D"/>
    <w:rsid w:val="007D40B1"/>
    <w:rsid w:val="007D4318"/>
    <w:rsid w:val="007D6C68"/>
    <w:rsid w:val="007D6D29"/>
    <w:rsid w:val="007D7BEA"/>
    <w:rsid w:val="007E0C7F"/>
    <w:rsid w:val="007E19CE"/>
    <w:rsid w:val="007E1C5F"/>
    <w:rsid w:val="007E20AD"/>
    <w:rsid w:val="007E2C44"/>
    <w:rsid w:val="007E2FAB"/>
    <w:rsid w:val="007E364B"/>
    <w:rsid w:val="007E3C16"/>
    <w:rsid w:val="007E5F58"/>
    <w:rsid w:val="007E6C38"/>
    <w:rsid w:val="007E767C"/>
    <w:rsid w:val="007E7830"/>
    <w:rsid w:val="007F0BAE"/>
    <w:rsid w:val="007F1057"/>
    <w:rsid w:val="007F283E"/>
    <w:rsid w:val="007F548C"/>
    <w:rsid w:val="007F65F1"/>
    <w:rsid w:val="007F7A9F"/>
    <w:rsid w:val="008014EA"/>
    <w:rsid w:val="00802741"/>
    <w:rsid w:val="00802F81"/>
    <w:rsid w:val="00803693"/>
    <w:rsid w:val="008054F7"/>
    <w:rsid w:val="008064E2"/>
    <w:rsid w:val="00807A63"/>
    <w:rsid w:val="008111FE"/>
    <w:rsid w:val="00812363"/>
    <w:rsid w:val="00813589"/>
    <w:rsid w:val="00813FDA"/>
    <w:rsid w:val="00814287"/>
    <w:rsid w:val="00814C4A"/>
    <w:rsid w:val="00814D00"/>
    <w:rsid w:val="00816AB2"/>
    <w:rsid w:val="00821416"/>
    <w:rsid w:val="00821A79"/>
    <w:rsid w:val="00823151"/>
    <w:rsid w:val="008245B0"/>
    <w:rsid w:val="0082484C"/>
    <w:rsid w:val="008249A3"/>
    <w:rsid w:val="00824C5E"/>
    <w:rsid w:val="0082713A"/>
    <w:rsid w:val="008300B9"/>
    <w:rsid w:val="008317EF"/>
    <w:rsid w:val="0083264E"/>
    <w:rsid w:val="00832BF3"/>
    <w:rsid w:val="00832E26"/>
    <w:rsid w:val="00834A29"/>
    <w:rsid w:val="00835C0A"/>
    <w:rsid w:val="008373D9"/>
    <w:rsid w:val="0083761C"/>
    <w:rsid w:val="0083782F"/>
    <w:rsid w:val="008404F3"/>
    <w:rsid w:val="0084293C"/>
    <w:rsid w:val="00842DBF"/>
    <w:rsid w:val="00842FDD"/>
    <w:rsid w:val="00843087"/>
    <w:rsid w:val="00844472"/>
    <w:rsid w:val="008444CF"/>
    <w:rsid w:val="00845CDB"/>
    <w:rsid w:val="00845D39"/>
    <w:rsid w:val="00850714"/>
    <w:rsid w:val="00851E06"/>
    <w:rsid w:val="00852F2A"/>
    <w:rsid w:val="008553C6"/>
    <w:rsid w:val="00856271"/>
    <w:rsid w:val="008565C4"/>
    <w:rsid w:val="00856C3C"/>
    <w:rsid w:val="00857313"/>
    <w:rsid w:val="008574ED"/>
    <w:rsid w:val="008601C5"/>
    <w:rsid w:val="00860BAC"/>
    <w:rsid w:val="00861B21"/>
    <w:rsid w:val="008624F3"/>
    <w:rsid w:val="0086271E"/>
    <w:rsid w:val="008638C3"/>
    <w:rsid w:val="00863F46"/>
    <w:rsid w:val="00866E6A"/>
    <w:rsid w:val="00867712"/>
    <w:rsid w:val="00867933"/>
    <w:rsid w:val="00870ECF"/>
    <w:rsid w:val="0087186C"/>
    <w:rsid w:val="008730D2"/>
    <w:rsid w:val="0087490E"/>
    <w:rsid w:val="00874B38"/>
    <w:rsid w:val="00875146"/>
    <w:rsid w:val="00877613"/>
    <w:rsid w:val="00880138"/>
    <w:rsid w:val="00880945"/>
    <w:rsid w:val="00882563"/>
    <w:rsid w:val="00882584"/>
    <w:rsid w:val="00882D78"/>
    <w:rsid w:val="00883555"/>
    <w:rsid w:val="0088370E"/>
    <w:rsid w:val="008838D1"/>
    <w:rsid w:val="00884D34"/>
    <w:rsid w:val="00884D9C"/>
    <w:rsid w:val="008856DB"/>
    <w:rsid w:val="00886684"/>
    <w:rsid w:val="00887825"/>
    <w:rsid w:val="0089042E"/>
    <w:rsid w:val="008916C2"/>
    <w:rsid w:val="008921A9"/>
    <w:rsid w:val="008942C3"/>
    <w:rsid w:val="00894C79"/>
    <w:rsid w:val="00895504"/>
    <w:rsid w:val="0089610C"/>
    <w:rsid w:val="008A10A0"/>
    <w:rsid w:val="008A460E"/>
    <w:rsid w:val="008A470B"/>
    <w:rsid w:val="008A4CB4"/>
    <w:rsid w:val="008A5B44"/>
    <w:rsid w:val="008A5FFF"/>
    <w:rsid w:val="008A67EE"/>
    <w:rsid w:val="008A6C61"/>
    <w:rsid w:val="008A6DBF"/>
    <w:rsid w:val="008A7011"/>
    <w:rsid w:val="008A7051"/>
    <w:rsid w:val="008B1263"/>
    <w:rsid w:val="008B12D2"/>
    <w:rsid w:val="008B3480"/>
    <w:rsid w:val="008B370B"/>
    <w:rsid w:val="008B3C49"/>
    <w:rsid w:val="008B42D0"/>
    <w:rsid w:val="008B557C"/>
    <w:rsid w:val="008B7FFD"/>
    <w:rsid w:val="008C015C"/>
    <w:rsid w:val="008C01EA"/>
    <w:rsid w:val="008C15C0"/>
    <w:rsid w:val="008C171B"/>
    <w:rsid w:val="008C4DEE"/>
    <w:rsid w:val="008C5424"/>
    <w:rsid w:val="008C58FE"/>
    <w:rsid w:val="008C5935"/>
    <w:rsid w:val="008C7AFF"/>
    <w:rsid w:val="008D0147"/>
    <w:rsid w:val="008D0A21"/>
    <w:rsid w:val="008D2066"/>
    <w:rsid w:val="008D2D8D"/>
    <w:rsid w:val="008D38C7"/>
    <w:rsid w:val="008D3A8D"/>
    <w:rsid w:val="008D574E"/>
    <w:rsid w:val="008D62E7"/>
    <w:rsid w:val="008D6B23"/>
    <w:rsid w:val="008D6D85"/>
    <w:rsid w:val="008D6E81"/>
    <w:rsid w:val="008D784A"/>
    <w:rsid w:val="008E006E"/>
    <w:rsid w:val="008E0167"/>
    <w:rsid w:val="008E035A"/>
    <w:rsid w:val="008E0FCF"/>
    <w:rsid w:val="008E113C"/>
    <w:rsid w:val="008E11C1"/>
    <w:rsid w:val="008E2228"/>
    <w:rsid w:val="008E337D"/>
    <w:rsid w:val="008E45C3"/>
    <w:rsid w:val="008E484A"/>
    <w:rsid w:val="008E5215"/>
    <w:rsid w:val="008E55F6"/>
    <w:rsid w:val="008E59DC"/>
    <w:rsid w:val="008E6105"/>
    <w:rsid w:val="008E7E45"/>
    <w:rsid w:val="008F0D77"/>
    <w:rsid w:val="008F11B8"/>
    <w:rsid w:val="008F20F5"/>
    <w:rsid w:val="008F2614"/>
    <w:rsid w:val="008F3372"/>
    <w:rsid w:val="008F46B4"/>
    <w:rsid w:val="008F4BFE"/>
    <w:rsid w:val="008F5195"/>
    <w:rsid w:val="008F586D"/>
    <w:rsid w:val="008F5E49"/>
    <w:rsid w:val="0090069A"/>
    <w:rsid w:val="009016E5"/>
    <w:rsid w:val="009021E6"/>
    <w:rsid w:val="0090230F"/>
    <w:rsid w:val="00902A66"/>
    <w:rsid w:val="009041F9"/>
    <w:rsid w:val="00904719"/>
    <w:rsid w:val="00904BAC"/>
    <w:rsid w:val="009054F0"/>
    <w:rsid w:val="00906AA2"/>
    <w:rsid w:val="00910733"/>
    <w:rsid w:val="00911EF8"/>
    <w:rsid w:val="0091247F"/>
    <w:rsid w:val="00912B7E"/>
    <w:rsid w:val="00912EFB"/>
    <w:rsid w:val="00913976"/>
    <w:rsid w:val="009161B9"/>
    <w:rsid w:val="00916329"/>
    <w:rsid w:val="0092092C"/>
    <w:rsid w:val="00921382"/>
    <w:rsid w:val="00921BBC"/>
    <w:rsid w:val="00921C86"/>
    <w:rsid w:val="00922240"/>
    <w:rsid w:val="00923620"/>
    <w:rsid w:val="00923F72"/>
    <w:rsid w:val="0092428E"/>
    <w:rsid w:val="00924658"/>
    <w:rsid w:val="00925C03"/>
    <w:rsid w:val="0093020A"/>
    <w:rsid w:val="00930E4C"/>
    <w:rsid w:val="009311AC"/>
    <w:rsid w:val="00932328"/>
    <w:rsid w:val="00932A50"/>
    <w:rsid w:val="00934675"/>
    <w:rsid w:val="009349CF"/>
    <w:rsid w:val="00934A2D"/>
    <w:rsid w:val="00934C73"/>
    <w:rsid w:val="00934C88"/>
    <w:rsid w:val="00935E80"/>
    <w:rsid w:val="00940520"/>
    <w:rsid w:val="00940A50"/>
    <w:rsid w:val="00941690"/>
    <w:rsid w:val="00941AB5"/>
    <w:rsid w:val="00941C32"/>
    <w:rsid w:val="009421E9"/>
    <w:rsid w:val="00943D2E"/>
    <w:rsid w:val="00944766"/>
    <w:rsid w:val="00944EFE"/>
    <w:rsid w:val="00944F37"/>
    <w:rsid w:val="009460BA"/>
    <w:rsid w:val="009467C3"/>
    <w:rsid w:val="009468FA"/>
    <w:rsid w:val="00950555"/>
    <w:rsid w:val="00950AD9"/>
    <w:rsid w:val="00952B41"/>
    <w:rsid w:val="00952D77"/>
    <w:rsid w:val="009542BD"/>
    <w:rsid w:val="009548D0"/>
    <w:rsid w:val="00956CF2"/>
    <w:rsid w:val="00957D36"/>
    <w:rsid w:val="00960035"/>
    <w:rsid w:val="00960D71"/>
    <w:rsid w:val="00961F2A"/>
    <w:rsid w:val="00962385"/>
    <w:rsid w:val="00963DC9"/>
    <w:rsid w:val="00963FA7"/>
    <w:rsid w:val="00963FFE"/>
    <w:rsid w:val="00964B3A"/>
    <w:rsid w:val="00967A7D"/>
    <w:rsid w:val="00967DD6"/>
    <w:rsid w:val="00967E77"/>
    <w:rsid w:val="00967F48"/>
    <w:rsid w:val="0097023B"/>
    <w:rsid w:val="00970339"/>
    <w:rsid w:val="00970A12"/>
    <w:rsid w:val="00970E1F"/>
    <w:rsid w:val="009721BA"/>
    <w:rsid w:val="009723B7"/>
    <w:rsid w:val="00972DE8"/>
    <w:rsid w:val="0097330A"/>
    <w:rsid w:val="009752CE"/>
    <w:rsid w:val="009754F7"/>
    <w:rsid w:val="00975F7E"/>
    <w:rsid w:val="009768A8"/>
    <w:rsid w:val="00976B10"/>
    <w:rsid w:val="0097755D"/>
    <w:rsid w:val="00977E94"/>
    <w:rsid w:val="00980BC6"/>
    <w:rsid w:val="00981D94"/>
    <w:rsid w:val="0098242F"/>
    <w:rsid w:val="00982B12"/>
    <w:rsid w:val="0098522E"/>
    <w:rsid w:val="00985473"/>
    <w:rsid w:val="00985972"/>
    <w:rsid w:val="009902F2"/>
    <w:rsid w:val="00990ABE"/>
    <w:rsid w:val="009915D4"/>
    <w:rsid w:val="009928E4"/>
    <w:rsid w:val="00992C86"/>
    <w:rsid w:val="00993598"/>
    <w:rsid w:val="00993E4F"/>
    <w:rsid w:val="00994784"/>
    <w:rsid w:val="00994791"/>
    <w:rsid w:val="00994BFF"/>
    <w:rsid w:val="00995644"/>
    <w:rsid w:val="0099584A"/>
    <w:rsid w:val="00996B9A"/>
    <w:rsid w:val="00996C70"/>
    <w:rsid w:val="00997C4C"/>
    <w:rsid w:val="009A0846"/>
    <w:rsid w:val="009A09EE"/>
    <w:rsid w:val="009A0E5A"/>
    <w:rsid w:val="009A1A68"/>
    <w:rsid w:val="009A2F48"/>
    <w:rsid w:val="009A5661"/>
    <w:rsid w:val="009A5889"/>
    <w:rsid w:val="009A6927"/>
    <w:rsid w:val="009A74EA"/>
    <w:rsid w:val="009B07E4"/>
    <w:rsid w:val="009B0E1C"/>
    <w:rsid w:val="009B166C"/>
    <w:rsid w:val="009B1CCD"/>
    <w:rsid w:val="009B3344"/>
    <w:rsid w:val="009B364B"/>
    <w:rsid w:val="009B39ED"/>
    <w:rsid w:val="009B3DBC"/>
    <w:rsid w:val="009B5C2C"/>
    <w:rsid w:val="009B5C32"/>
    <w:rsid w:val="009B6132"/>
    <w:rsid w:val="009B6A52"/>
    <w:rsid w:val="009B708C"/>
    <w:rsid w:val="009B7584"/>
    <w:rsid w:val="009B75E0"/>
    <w:rsid w:val="009B7A78"/>
    <w:rsid w:val="009B7C68"/>
    <w:rsid w:val="009C006C"/>
    <w:rsid w:val="009C1DDA"/>
    <w:rsid w:val="009C285A"/>
    <w:rsid w:val="009C39D4"/>
    <w:rsid w:val="009C3D28"/>
    <w:rsid w:val="009C3FC3"/>
    <w:rsid w:val="009C617C"/>
    <w:rsid w:val="009C7800"/>
    <w:rsid w:val="009D0948"/>
    <w:rsid w:val="009D0A74"/>
    <w:rsid w:val="009D0CD9"/>
    <w:rsid w:val="009D134B"/>
    <w:rsid w:val="009D1947"/>
    <w:rsid w:val="009D2872"/>
    <w:rsid w:val="009D2BF1"/>
    <w:rsid w:val="009D3E11"/>
    <w:rsid w:val="009D661E"/>
    <w:rsid w:val="009D6E02"/>
    <w:rsid w:val="009E0E32"/>
    <w:rsid w:val="009E108E"/>
    <w:rsid w:val="009E33DE"/>
    <w:rsid w:val="009E3921"/>
    <w:rsid w:val="009E4B74"/>
    <w:rsid w:val="009E5439"/>
    <w:rsid w:val="009E55E6"/>
    <w:rsid w:val="009E5781"/>
    <w:rsid w:val="009E5897"/>
    <w:rsid w:val="009E59EA"/>
    <w:rsid w:val="009E5BFE"/>
    <w:rsid w:val="009F0448"/>
    <w:rsid w:val="009F0688"/>
    <w:rsid w:val="009F2187"/>
    <w:rsid w:val="009F286E"/>
    <w:rsid w:val="009F2FC8"/>
    <w:rsid w:val="009F45C4"/>
    <w:rsid w:val="009F4F89"/>
    <w:rsid w:val="009F6031"/>
    <w:rsid w:val="009F794D"/>
    <w:rsid w:val="00A0079C"/>
    <w:rsid w:val="00A02ED0"/>
    <w:rsid w:val="00A035D6"/>
    <w:rsid w:val="00A045C0"/>
    <w:rsid w:val="00A05471"/>
    <w:rsid w:val="00A05F84"/>
    <w:rsid w:val="00A066FA"/>
    <w:rsid w:val="00A076CE"/>
    <w:rsid w:val="00A078CA"/>
    <w:rsid w:val="00A07DED"/>
    <w:rsid w:val="00A100DE"/>
    <w:rsid w:val="00A1084B"/>
    <w:rsid w:val="00A10C12"/>
    <w:rsid w:val="00A1178F"/>
    <w:rsid w:val="00A11978"/>
    <w:rsid w:val="00A12021"/>
    <w:rsid w:val="00A120D0"/>
    <w:rsid w:val="00A12643"/>
    <w:rsid w:val="00A1322F"/>
    <w:rsid w:val="00A138FE"/>
    <w:rsid w:val="00A17348"/>
    <w:rsid w:val="00A1759A"/>
    <w:rsid w:val="00A214EE"/>
    <w:rsid w:val="00A230AC"/>
    <w:rsid w:val="00A23880"/>
    <w:rsid w:val="00A249BB"/>
    <w:rsid w:val="00A24F03"/>
    <w:rsid w:val="00A25AD0"/>
    <w:rsid w:val="00A261CB"/>
    <w:rsid w:val="00A26D2A"/>
    <w:rsid w:val="00A30D11"/>
    <w:rsid w:val="00A30ED3"/>
    <w:rsid w:val="00A31313"/>
    <w:rsid w:val="00A316D3"/>
    <w:rsid w:val="00A3194D"/>
    <w:rsid w:val="00A33D35"/>
    <w:rsid w:val="00A347BC"/>
    <w:rsid w:val="00A34D8D"/>
    <w:rsid w:val="00A34F76"/>
    <w:rsid w:val="00A34FCE"/>
    <w:rsid w:val="00A37472"/>
    <w:rsid w:val="00A37627"/>
    <w:rsid w:val="00A376B2"/>
    <w:rsid w:val="00A40164"/>
    <w:rsid w:val="00A40361"/>
    <w:rsid w:val="00A40E41"/>
    <w:rsid w:val="00A431D3"/>
    <w:rsid w:val="00A433A1"/>
    <w:rsid w:val="00A43475"/>
    <w:rsid w:val="00A43A1A"/>
    <w:rsid w:val="00A44154"/>
    <w:rsid w:val="00A44C79"/>
    <w:rsid w:val="00A45136"/>
    <w:rsid w:val="00A454A0"/>
    <w:rsid w:val="00A5020A"/>
    <w:rsid w:val="00A512D7"/>
    <w:rsid w:val="00A51BEA"/>
    <w:rsid w:val="00A54344"/>
    <w:rsid w:val="00A54645"/>
    <w:rsid w:val="00A552EF"/>
    <w:rsid w:val="00A56AB6"/>
    <w:rsid w:val="00A56C5E"/>
    <w:rsid w:val="00A57836"/>
    <w:rsid w:val="00A57C55"/>
    <w:rsid w:val="00A6051F"/>
    <w:rsid w:val="00A6169F"/>
    <w:rsid w:val="00A624E1"/>
    <w:rsid w:val="00A62E53"/>
    <w:rsid w:val="00A62F47"/>
    <w:rsid w:val="00A65074"/>
    <w:rsid w:val="00A72347"/>
    <w:rsid w:val="00A72B02"/>
    <w:rsid w:val="00A73D2A"/>
    <w:rsid w:val="00A7459E"/>
    <w:rsid w:val="00A74755"/>
    <w:rsid w:val="00A75369"/>
    <w:rsid w:val="00A7669D"/>
    <w:rsid w:val="00A77856"/>
    <w:rsid w:val="00A800C9"/>
    <w:rsid w:val="00A8122D"/>
    <w:rsid w:val="00A8126D"/>
    <w:rsid w:val="00A81614"/>
    <w:rsid w:val="00A823A0"/>
    <w:rsid w:val="00A825D6"/>
    <w:rsid w:val="00A825E8"/>
    <w:rsid w:val="00A83CCB"/>
    <w:rsid w:val="00A861E7"/>
    <w:rsid w:val="00A869CA"/>
    <w:rsid w:val="00A87D18"/>
    <w:rsid w:val="00A902DF"/>
    <w:rsid w:val="00A90704"/>
    <w:rsid w:val="00A91544"/>
    <w:rsid w:val="00A9216A"/>
    <w:rsid w:val="00A921FB"/>
    <w:rsid w:val="00A92E9B"/>
    <w:rsid w:val="00A94ECE"/>
    <w:rsid w:val="00A969EF"/>
    <w:rsid w:val="00A97B56"/>
    <w:rsid w:val="00AA12A8"/>
    <w:rsid w:val="00AA12F0"/>
    <w:rsid w:val="00AA260B"/>
    <w:rsid w:val="00AA2F01"/>
    <w:rsid w:val="00AA3A1D"/>
    <w:rsid w:val="00AA3AF9"/>
    <w:rsid w:val="00AB1323"/>
    <w:rsid w:val="00AB2A59"/>
    <w:rsid w:val="00AB4F77"/>
    <w:rsid w:val="00AB5900"/>
    <w:rsid w:val="00AB5AD1"/>
    <w:rsid w:val="00AC04B7"/>
    <w:rsid w:val="00AC3432"/>
    <w:rsid w:val="00AC5A8D"/>
    <w:rsid w:val="00AC5DFE"/>
    <w:rsid w:val="00AC65FD"/>
    <w:rsid w:val="00AC680C"/>
    <w:rsid w:val="00AC768F"/>
    <w:rsid w:val="00AC792B"/>
    <w:rsid w:val="00AD0952"/>
    <w:rsid w:val="00AD1078"/>
    <w:rsid w:val="00AD146E"/>
    <w:rsid w:val="00AD31FF"/>
    <w:rsid w:val="00AD57B4"/>
    <w:rsid w:val="00AD596B"/>
    <w:rsid w:val="00AD78B9"/>
    <w:rsid w:val="00AE11C7"/>
    <w:rsid w:val="00AE13E6"/>
    <w:rsid w:val="00AE49B7"/>
    <w:rsid w:val="00AE7310"/>
    <w:rsid w:val="00AF05A3"/>
    <w:rsid w:val="00AF07B1"/>
    <w:rsid w:val="00AF0866"/>
    <w:rsid w:val="00AF09B9"/>
    <w:rsid w:val="00AF0B17"/>
    <w:rsid w:val="00AF33AA"/>
    <w:rsid w:val="00AF420E"/>
    <w:rsid w:val="00AF49CA"/>
    <w:rsid w:val="00AF51F9"/>
    <w:rsid w:val="00AF6300"/>
    <w:rsid w:val="00AF76DF"/>
    <w:rsid w:val="00AF7BDC"/>
    <w:rsid w:val="00B00087"/>
    <w:rsid w:val="00B00128"/>
    <w:rsid w:val="00B00618"/>
    <w:rsid w:val="00B0084F"/>
    <w:rsid w:val="00B0210E"/>
    <w:rsid w:val="00B024C0"/>
    <w:rsid w:val="00B03A34"/>
    <w:rsid w:val="00B03A43"/>
    <w:rsid w:val="00B0416D"/>
    <w:rsid w:val="00B05657"/>
    <w:rsid w:val="00B0615F"/>
    <w:rsid w:val="00B06E39"/>
    <w:rsid w:val="00B07400"/>
    <w:rsid w:val="00B079F9"/>
    <w:rsid w:val="00B10B9A"/>
    <w:rsid w:val="00B11843"/>
    <w:rsid w:val="00B12CCE"/>
    <w:rsid w:val="00B1540F"/>
    <w:rsid w:val="00B166AB"/>
    <w:rsid w:val="00B167A5"/>
    <w:rsid w:val="00B2222F"/>
    <w:rsid w:val="00B24D38"/>
    <w:rsid w:val="00B2553E"/>
    <w:rsid w:val="00B25D73"/>
    <w:rsid w:val="00B26C8D"/>
    <w:rsid w:val="00B27BA8"/>
    <w:rsid w:val="00B30BAF"/>
    <w:rsid w:val="00B3274D"/>
    <w:rsid w:val="00B33698"/>
    <w:rsid w:val="00B33A1F"/>
    <w:rsid w:val="00B33D46"/>
    <w:rsid w:val="00B36ECC"/>
    <w:rsid w:val="00B37BCB"/>
    <w:rsid w:val="00B37CA8"/>
    <w:rsid w:val="00B41200"/>
    <w:rsid w:val="00B41874"/>
    <w:rsid w:val="00B418F3"/>
    <w:rsid w:val="00B420A5"/>
    <w:rsid w:val="00B421EB"/>
    <w:rsid w:val="00B436B4"/>
    <w:rsid w:val="00B43A91"/>
    <w:rsid w:val="00B44A31"/>
    <w:rsid w:val="00B4509E"/>
    <w:rsid w:val="00B511AE"/>
    <w:rsid w:val="00B51651"/>
    <w:rsid w:val="00B51C08"/>
    <w:rsid w:val="00B51C97"/>
    <w:rsid w:val="00B53D35"/>
    <w:rsid w:val="00B54EE9"/>
    <w:rsid w:val="00B55F0D"/>
    <w:rsid w:val="00B56911"/>
    <w:rsid w:val="00B57D49"/>
    <w:rsid w:val="00B60791"/>
    <w:rsid w:val="00B60B74"/>
    <w:rsid w:val="00B61633"/>
    <w:rsid w:val="00B61C49"/>
    <w:rsid w:val="00B6219F"/>
    <w:rsid w:val="00B63341"/>
    <w:rsid w:val="00B6363D"/>
    <w:rsid w:val="00B637EB"/>
    <w:rsid w:val="00B65A8A"/>
    <w:rsid w:val="00B6603C"/>
    <w:rsid w:val="00B673D4"/>
    <w:rsid w:val="00B71963"/>
    <w:rsid w:val="00B72226"/>
    <w:rsid w:val="00B72FAB"/>
    <w:rsid w:val="00B73ACD"/>
    <w:rsid w:val="00B75520"/>
    <w:rsid w:val="00B75A06"/>
    <w:rsid w:val="00B76C2F"/>
    <w:rsid w:val="00B77D08"/>
    <w:rsid w:val="00B802E3"/>
    <w:rsid w:val="00B80709"/>
    <w:rsid w:val="00B8279B"/>
    <w:rsid w:val="00B83479"/>
    <w:rsid w:val="00B83CE5"/>
    <w:rsid w:val="00B83F22"/>
    <w:rsid w:val="00B84E21"/>
    <w:rsid w:val="00B84E9B"/>
    <w:rsid w:val="00B852F2"/>
    <w:rsid w:val="00B86ED8"/>
    <w:rsid w:val="00B87431"/>
    <w:rsid w:val="00B90EC4"/>
    <w:rsid w:val="00B9241B"/>
    <w:rsid w:val="00B92693"/>
    <w:rsid w:val="00B928D3"/>
    <w:rsid w:val="00B93071"/>
    <w:rsid w:val="00B946FE"/>
    <w:rsid w:val="00B94B21"/>
    <w:rsid w:val="00B95474"/>
    <w:rsid w:val="00B95C22"/>
    <w:rsid w:val="00B96CE8"/>
    <w:rsid w:val="00B978EE"/>
    <w:rsid w:val="00B97C18"/>
    <w:rsid w:val="00B97EA1"/>
    <w:rsid w:val="00BA0A7D"/>
    <w:rsid w:val="00BA0BBC"/>
    <w:rsid w:val="00BA26A2"/>
    <w:rsid w:val="00BA3AD6"/>
    <w:rsid w:val="00BA3E5B"/>
    <w:rsid w:val="00BA53C6"/>
    <w:rsid w:val="00BA5A6E"/>
    <w:rsid w:val="00BA7930"/>
    <w:rsid w:val="00BB0491"/>
    <w:rsid w:val="00BB0693"/>
    <w:rsid w:val="00BB176E"/>
    <w:rsid w:val="00BB2DC9"/>
    <w:rsid w:val="00BB332C"/>
    <w:rsid w:val="00BB4AB4"/>
    <w:rsid w:val="00BB4D2F"/>
    <w:rsid w:val="00BB5214"/>
    <w:rsid w:val="00BB63B2"/>
    <w:rsid w:val="00BB6CE1"/>
    <w:rsid w:val="00BB708A"/>
    <w:rsid w:val="00BB7DD0"/>
    <w:rsid w:val="00BC0C20"/>
    <w:rsid w:val="00BC17DD"/>
    <w:rsid w:val="00BC1928"/>
    <w:rsid w:val="00BC2414"/>
    <w:rsid w:val="00BC3CEF"/>
    <w:rsid w:val="00BC3D33"/>
    <w:rsid w:val="00BC5B36"/>
    <w:rsid w:val="00BC5D8C"/>
    <w:rsid w:val="00BC72C1"/>
    <w:rsid w:val="00BD133F"/>
    <w:rsid w:val="00BD29C5"/>
    <w:rsid w:val="00BD3035"/>
    <w:rsid w:val="00BD3370"/>
    <w:rsid w:val="00BD33BE"/>
    <w:rsid w:val="00BD4802"/>
    <w:rsid w:val="00BD494E"/>
    <w:rsid w:val="00BD63D7"/>
    <w:rsid w:val="00BD6410"/>
    <w:rsid w:val="00BD6476"/>
    <w:rsid w:val="00BD7886"/>
    <w:rsid w:val="00BE0EA0"/>
    <w:rsid w:val="00BE20A7"/>
    <w:rsid w:val="00BE22EF"/>
    <w:rsid w:val="00BE540F"/>
    <w:rsid w:val="00BE572C"/>
    <w:rsid w:val="00BF0DAC"/>
    <w:rsid w:val="00BF0DDD"/>
    <w:rsid w:val="00BF178E"/>
    <w:rsid w:val="00BF183C"/>
    <w:rsid w:val="00BF1AF5"/>
    <w:rsid w:val="00BF2880"/>
    <w:rsid w:val="00BF2ACE"/>
    <w:rsid w:val="00BF4327"/>
    <w:rsid w:val="00BF47A3"/>
    <w:rsid w:val="00BF7497"/>
    <w:rsid w:val="00BF7780"/>
    <w:rsid w:val="00C0029C"/>
    <w:rsid w:val="00C0035F"/>
    <w:rsid w:val="00C007FC"/>
    <w:rsid w:val="00C00A7C"/>
    <w:rsid w:val="00C017DF"/>
    <w:rsid w:val="00C0205C"/>
    <w:rsid w:val="00C027E4"/>
    <w:rsid w:val="00C100EE"/>
    <w:rsid w:val="00C1084C"/>
    <w:rsid w:val="00C10B11"/>
    <w:rsid w:val="00C13F5A"/>
    <w:rsid w:val="00C14640"/>
    <w:rsid w:val="00C14EEE"/>
    <w:rsid w:val="00C164C8"/>
    <w:rsid w:val="00C16FC4"/>
    <w:rsid w:val="00C176F0"/>
    <w:rsid w:val="00C17F1D"/>
    <w:rsid w:val="00C208F6"/>
    <w:rsid w:val="00C216D0"/>
    <w:rsid w:val="00C2243B"/>
    <w:rsid w:val="00C2547B"/>
    <w:rsid w:val="00C25E5B"/>
    <w:rsid w:val="00C26F71"/>
    <w:rsid w:val="00C3128F"/>
    <w:rsid w:val="00C33D63"/>
    <w:rsid w:val="00C3416C"/>
    <w:rsid w:val="00C34652"/>
    <w:rsid w:val="00C35D77"/>
    <w:rsid w:val="00C36989"/>
    <w:rsid w:val="00C37FBE"/>
    <w:rsid w:val="00C41AA8"/>
    <w:rsid w:val="00C421CC"/>
    <w:rsid w:val="00C42786"/>
    <w:rsid w:val="00C43001"/>
    <w:rsid w:val="00C43E58"/>
    <w:rsid w:val="00C45EF6"/>
    <w:rsid w:val="00C47462"/>
    <w:rsid w:val="00C47769"/>
    <w:rsid w:val="00C47EF4"/>
    <w:rsid w:val="00C5129B"/>
    <w:rsid w:val="00C512C1"/>
    <w:rsid w:val="00C51B3E"/>
    <w:rsid w:val="00C522D3"/>
    <w:rsid w:val="00C52B32"/>
    <w:rsid w:val="00C53365"/>
    <w:rsid w:val="00C548C2"/>
    <w:rsid w:val="00C54DE7"/>
    <w:rsid w:val="00C57722"/>
    <w:rsid w:val="00C57761"/>
    <w:rsid w:val="00C57C4E"/>
    <w:rsid w:val="00C60A1D"/>
    <w:rsid w:val="00C6306B"/>
    <w:rsid w:val="00C636A6"/>
    <w:rsid w:val="00C6499F"/>
    <w:rsid w:val="00C6546B"/>
    <w:rsid w:val="00C65E60"/>
    <w:rsid w:val="00C669C1"/>
    <w:rsid w:val="00C700E3"/>
    <w:rsid w:val="00C701A1"/>
    <w:rsid w:val="00C70254"/>
    <w:rsid w:val="00C72562"/>
    <w:rsid w:val="00C74EB6"/>
    <w:rsid w:val="00C76914"/>
    <w:rsid w:val="00C76B5E"/>
    <w:rsid w:val="00C770A3"/>
    <w:rsid w:val="00C8215E"/>
    <w:rsid w:val="00C822D1"/>
    <w:rsid w:val="00C828E5"/>
    <w:rsid w:val="00C8345D"/>
    <w:rsid w:val="00C84303"/>
    <w:rsid w:val="00C851C2"/>
    <w:rsid w:val="00C86121"/>
    <w:rsid w:val="00C86737"/>
    <w:rsid w:val="00C871DC"/>
    <w:rsid w:val="00C878EE"/>
    <w:rsid w:val="00C87BA5"/>
    <w:rsid w:val="00C87E0B"/>
    <w:rsid w:val="00C912C2"/>
    <w:rsid w:val="00C91EBE"/>
    <w:rsid w:val="00C942EE"/>
    <w:rsid w:val="00C94683"/>
    <w:rsid w:val="00C948C5"/>
    <w:rsid w:val="00C968A9"/>
    <w:rsid w:val="00C973E0"/>
    <w:rsid w:val="00C97D06"/>
    <w:rsid w:val="00CA05EF"/>
    <w:rsid w:val="00CA106A"/>
    <w:rsid w:val="00CA29CF"/>
    <w:rsid w:val="00CA2A2F"/>
    <w:rsid w:val="00CA3926"/>
    <w:rsid w:val="00CA3C70"/>
    <w:rsid w:val="00CA45C5"/>
    <w:rsid w:val="00CA5033"/>
    <w:rsid w:val="00CA5720"/>
    <w:rsid w:val="00CA576D"/>
    <w:rsid w:val="00CB01CC"/>
    <w:rsid w:val="00CB1208"/>
    <w:rsid w:val="00CB1C68"/>
    <w:rsid w:val="00CB3CB8"/>
    <w:rsid w:val="00CB4091"/>
    <w:rsid w:val="00CB4423"/>
    <w:rsid w:val="00CB4844"/>
    <w:rsid w:val="00CB7086"/>
    <w:rsid w:val="00CC0314"/>
    <w:rsid w:val="00CC07E6"/>
    <w:rsid w:val="00CC0BD7"/>
    <w:rsid w:val="00CC0E81"/>
    <w:rsid w:val="00CC1E28"/>
    <w:rsid w:val="00CC2F89"/>
    <w:rsid w:val="00CC3E35"/>
    <w:rsid w:val="00CC4D2E"/>
    <w:rsid w:val="00CC60DD"/>
    <w:rsid w:val="00CC7AA8"/>
    <w:rsid w:val="00CD1DBD"/>
    <w:rsid w:val="00CD202E"/>
    <w:rsid w:val="00CD220A"/>
    <w:rsid w:val="00CD29E7"/>
    <w:rsid w:val="00CD3CE5"/>
    <w:rsid w:val="00CD4D89"/>
    <w:rsid w:val="00CD54FA"/>
    <w:rsid w:val="00CD724A"/>
    <w:rsid w:val="00CD7387"/>
    <w:rsid w:val="00CD7987"/>
    <w:rsid w:val="00CD7E22"/>
    <w:rsid w:val="00CE056A"/>
    <w:rsid w:val="00CE25A8"/>
    <w:rsid w:val="00CE3286"/>
    <w:rsid w:val="00CE3F1E"/>
    <w:rsid w:val="00CE6670"/>
    <w:rsid w:val="00CE74F5"/>
    <w:rsid w:val="00CE7BAA"/>
    <w:rsid w:val="00CE7C13"/>
    <w:rsid w:val="00CF0173"/>
    <w:rsid w:val="00CF0B2E"/>
    <w:rsid w:val="00CF0D89"/>
    <w:rsid w:val="00CF1632"/>
    <w:rsid w:val="00CF4C19"/>
    <w:rsid w:val="00CF60CE"/>
    <w:rsid w:val="00CF6A00"/>
    <w:rsid w:val="00D00BD0"/>
    <w:rsid w:val="00D02304"/>
    <w:rsid w:val="00D024A6"/>
    <w:rsid w:val="00D03DC5"/>
    <w:rsid w:val="00D05797"/>
    <w:rsid w:val="00D05909"/>
    <w:rsid w:val="00D05B89"/>
    <w:rsid w:val="00D11368"/>
    <w:rsid w:val="00D118C5"/>
    <w:rsid w:val="00D13181"/>
    <w:rsid w:val="00D1338B"/>
    <w:rsid w:val="00D13B76"/>
    <w:rsid w:val="00D149A1"/>
    <w:rsid w:val="00D14FAA"/>
    <w:rsid w:val="00D15879"/>
    <w:rsid w:val="00D16162"/>
    <w:rsid w:val="00D2096E"/>
    <w:rsid w:val="00D21674"/>
    <w:rsid w:val="00D216AF"/>
    <w:rsid w:val="00D21FEE"/>
    <w:rsid w:val="00D22171"/>
    <w:rsid w:val="00D23AEC"/>
    <w:rsid w:val="00D23E81"/>
    <w:rsid w:val="00D23E9D"/>
    <w:rsid w:val="00D26EBC"/>
    <w:rsid w:val="00D26FFA"/>
    <w:rsid w:val="00D271E4"/>
    <w:rsid w:val="00D27510"/>
    <w:rsid w:val="00D30012"/>
    <w:rsid w:val="00D30A25"/>
    <w:rsid w:val="00D3127B"/>
    <w:rsid w:val="00D337CE"/>
    <w:rsid w:val="00D349FE"/>
    <w:rsid w:val="00D35A63"/>
    <w:rsid w:val="00D41C26"/>
    <w:rsid w:val="00D42390"/>
    <w:rsid w:val="00D4273B"/>
    <w:rsid w:val="00D43267"/>
    <w:rsid w:val="00D46633"/>
    <w:rsid w:val="00D473B8"/>
    <w:rsid w:val="00D50243"/>
    <w:rsid w:val="00D52323"/>
    <w:rsid w:val="00D52754"/>
    <w:rsid w:val="00D53041"/>
    <w:rsid w:val="00D5353B"/>
    <w:rsid w:val="00D5602B"/>
    <w:rsid w:val="00D56A07"/>
    <w:rsid w:val="00D57680"/>
    <w:rsid w:val="00D57722"/>
    <w:rsid w:val="00D606A5"/>
    <w:rsid w:val="00D609F6"/>
    <w:rsid w:val="00D6136E"/>
    <w:rsid w:val="00D61ADF"/>
    <w:rsid w:val="00D61DD3"/>
    <w:rsid w:val="00D623A3"/>
    <w:rsid w:val="00D6257C"/>
    <w:rsid w:val="00D62B05"/>
    <w:rsid w:val="00D64CD8"/>
    <w:rsid w:val="00D65538"/>
    <w:rsid w:val="00D6553C"/>
    <w:rsid w:val="00D6668A"/>
    <w:rsid w:val="00D678CA"/>
    <w:rsid w:val="00D67D2D"/>
    <w:rsid w:val="00D71761"/>
    <w:rsid w:val="00D729BD"/>
    <w:rsid w:val="00D742EA"/>
    <w:rsid w:val="00D74464"/>
    <w:rsid w:val="00D74E59"/>
    <w:rsid w:val="00D75289"/>
    <w:rsid w:val="00D76DE5"/>
    <w:rsid w:val="00D77A68"/>
    <w:rsid w:val="00D81113"/>
    <w:rsid w:val="00D81226"/>
    <w:rsid w:val="00D834BD"/>
    <w:rsid w:val="00D83676"/>
    <w:rsid w:val="00D859F6"/>
    <w:rsid w:val="00D87188"/>
    <w:rsid w:val="00D8721F"/>
    <w:rsid w:val="00D90C7D"/>
    <w:rsid w:val="00D911CF"/>
    <w:rsid w:val="00D92BB1"/>
    <w:rsid w:val="00D930A9"/>
    <w:rsid w:val="00D942E0"/>
    <w:rsid w:val="00D94365"/>
    <w:rsid w:val="00D94740"/>
    <w:rsid w:val="00D95F84"/>
    <w:rsid w:val="00D97565"/>
    <w:rsid w:val="00D97AF4"/>
    <w:rsid w:val="00D97B50"/>
    <w:rsid w:val="00DA224F"/>
    <w:rsid w:val="00DA2C6F"/>
    <w:rsid w:val="00DA3AB3"/>
    <w:rsid w:val="00DA4C46"/>
    <w:rsid w:val="00DA5010"/>
    <w:rsid w:val="00DA70D3"/>
    <w:rsid w:val="00DB0EB2"/>
    <w:rsid w:val="00DB1F4F"/>
    <w:rsid w:val="00DB359B"/>
    <w:rsid w:val="00DB3F92"/>
    <w:rsid w:val="00DB4CC8"/>
    <w:rsid w:val="00DB56F2"/>
    <w:rsid w:val="00DB5A48"/>
    <w:rsid w:val="00DB6A46"/>
    <w:rsid w:val="00DB7116"/>
    <w:rsid w:val="00DC0A24"/>
    <w:rsid w:val="00DC190A"/>
    <w:rsid w:val="00DC2548"/>
    <w:rsid w:val="00DC27CA"/>
    <w:rsid w:val="00DC3060"/>
    <w:rsid w:val="00DC40C2"/>
    <w:rsid w:val="00DC667D"/>
    <w:rsid w:val="00DC6AF0"/>
    <w:rsid w:val="00DC6C0A"/>
    <w:rsid w:val="00DC72F0"/>
    <w:rsid w:val="00DC7570"/>
    <w:rsid w:val="00DC7770"/>
    <w:rsid w:val="00DC7D52"/>
    <w:rsid w:val="00DD030A"/>
    <w:rsid w:val="00DD24AB"/>
    <w:rsid w:val="00DD2A68"/>
    <w:rsid w:val="00DD6372"/>
    <w:rsid w:val="00DD6C00"/>
    <w:rsid w:val="00DE06A6"/>
    <w:rsid w:val="00DE0957"/>
    <w:rsid w:val="00DE2023"/>
    <w:rsid w:val="00DE202F"/>
    <w:rsid w:val="00DE2475"/>
    <w:rsid w:val="00DE3CA9"/>
    <w:rsid w:val="00DE42FF"/>
    <w:rsid w:val="00DE4D08"/>
    <w:rsid w:val="00DE56DC"/>
    <w:rsid w:val="00DE5B4B"/>
    <w:rsid w:val="00DE709E"/>
    <w:rsid w:val="00DF113A"/>
    <w:rsid w:val="00DF16AB"/>
    <w:rsid w:val="00DF16EC"/>
    <w:rsid w:val="00DF1A92"/>
    <w:rsid w:val="00DF227E"/>
    <w:rsid w:val="00DF227F"/>
    <w:rsid w:val="00DF2F31"/>
    <w:rsid w:val="00DF3C6D"/>
    <w:rsid w:val="00DF3F27"/>
    <w:rsid w:val="00DF500C"/>
    <w:rsid w:val="00DF5060"/>
    <w:rsid w:val="00DF7263"/>
    <w:rsid w:val="00DF7606"/>
    <w:rsid w:val="00E00F3C"/>
    <w:rsid w:val="00E01727"/>
    <w:rsid w:val="00E01F3F"/>
    <w:rsid w:val="00E01F90"/>
    <w:rsid w:val="00E032E6"/>
    <w:rsid w:val="00E0374D"/>
    <w:rsid w:val="00E03F07"/>
    <w:rsid w:val="00E04751"/>
    <w:rsid w:val="00E07378"/>
    <w:rsid w:val="00E10674"/>
    <w:rsid w:val="00E108A5"/>
    <w:rsid w:val="00E10F56"/>
    <w:rsid w:val="00E11683"/>
    <w:rsid w:val="00E12EF0"/>
    <w:rsid w:val="00E12F58"/>
    <w:rsid w:val="00E133B6"/>
    <w:rsid w:val="00E13EEA"/>
    <w:rsid w:val="00E13FE3"/>
    <w:rsid w:val="00E14934"/>
    <w:rsid w:val="00E155BA"/>
    <w:rsid w:val="00E1659A"/>
    <w:rsid w:val="00E16A72"/>
    <w:rsid w:val="00E16CF9"/>
    <w:rsid w:val="00E20706"/>
    <w:rsid w:val="00E21B99"/>
    <w:rsid w:val="00E23AB4"/>
    <w:rsid w:val="00E23D42"/>
    <w:rsid w:val="00E23DD5"/>
    <w:rsid w:val="00E26C79"/>
    <w:rsid w:val="00E26CA6"/>
    <w:rsid w:val="00E26CF8"/>
    <w:rsid w:val="00E27AE8"/>
    <w:rsid w:val="00E31CDA"/>
    <w:rsid w:val="00E31D45"/>
    <w:rsid w:val="00E32273"/>
    <w:rsid w:val="00E33791"/>
    <w:rsid w:val="00E34509"/>
    <w:rsid w:val="00E347F6"/>
    <w:rsid w:val="00E34AA2"/>
    <w:rsid w:val="00E35C99"/>
    <w:rsid w:val="00E37765"/>
    <w:rsid w:val="00E37B66"/>
    <w:rsid w:val="00E40067"/>
    <w:rsid w:val="00E40612"/>
    <w:rsid w:val="00E44793"/>
    <w:rsid w:val="00E4498C"/>
    <w:rsid w:val="00E46397"/>
    <w:rsid w:val="00E5010C"/>
    <w:rsid w:val="00E50D0F"/>
    <w:rsid w:val="00E50E37"/>
    <w:rsid w:val="00E5306D"/>
    <w:rsid w:val="00E534BB"/>
    <w:rsid w:val="00E53DFE"/>
    <w:rsid w:val="00E5406C"/>
    <w:rsid w:val="00E55725"/>
    <w:rsid w:val="00E55A18"/>
    <w:rsid w:val="00E608CB"/>
    <w:rsid w:val="00E61068"/>
    <w:rsid w:val="00E6176E"/>
    <w:rsid w:val="00E625EC"/>
    <w:rsid w:val="00E62AC1"/>
    <w:rsid w:val="00E6355E"/>
    <w:rsid w:val="00E6443D"/>
    <w:rsid w:val="00E64D45"/>
    <w:rsid w:val="00E657C4"/>
    <w:rsid w:val="00E6683C"/>
    <w:rsid w:val="00E6703B"/>
    <w:rsid w:val="00E6733F"/>
    <w:rsid w:val="00E67476"/>
    <w:rsid w:val="00E67D34"/>
    <w:rsid w:val="00E701DC"/>
    <w:rsid w:val="00E7053D"/>
    <w:rsid w:val="00E70738"/>
    <w:rsid w:val="00E70E7F"/>
    <w:rsid w:val="00E723F4"/>
    <w:rsid w:val="00E73E47"/>
    <w:rsid w:val="00E74BE7"/>
    <w:rsid w:val="00E75BC7"/>
    <w:rsid w:val="00E765D8"/>
    <w:rsid w:val="00E7714D"/>
    <w:rsid w:val="00E7766D"/>
    <w:rsid w:val="00E80D62"/>
    <w:rsid w:val="00E80EF8"/>
    <w:rsid w:val="00E82040"/>
    <w:rsid w:val="00E822C3"/>
    <w:rsid w:val="00E82A0E"/>
    <w:rsid w:val="00E835C7"/>
    <w:rsid w:val="00E848E1"/>
    <w:rsid w:val="00E8531E"/>
    <w:rsid w:val="00E85682"/>
    <w:rsid w:val="00E864E3"/>
    <w:rsid w:val="00E879FD"/>
    <w:rsid w:val="00E9207F"/>
    <w:rsid w:val="00E92FAB"/>
    <w:rsid w:val="00E93597"/>
    <w:rsid w:val="00E954DB"/>
    <w:rsid w:val="00E96529"/>
    <w:rsid w:val="00E97E44"/>
    <w:rsid w:val="00E97ECC"/>
    <w:rsid w:val="00EA226D"/>
    <w:rsid w:val="00EA2966"/>
    <w:rsid w:val="00EA3DE0"/>
    <w:rsid w:val="00EA3EB1"/>
    <w:rsid w:val="00EA4035"/>
    <w:rsid w:val="00EA4251"/>
    <w:rsid w:val="00EA4512"/>
    <w:rsid w:val="00EA5352"/>
    <w:rsid w:val="00EA5D03"/>
    <w:rsid w:val="00EA6021"/>
    <w:rsid w:val="00EA6F1B"/>
    <w:rsid w:val="00EA7905"/>
    <w:rsid w:val="00EA7F12"/>
    <w:rsid w:val="00EA7F2A"/>
    <w:rsid w:val="00EB073E"/>
    <w:rsid w:val="00EB127E"/>
    <w:rsid w:val="00EB1B3A"/>
    <w:rsid w:val="00EB25C6"/>
    <w:rsid w:val="00EB3C6C"/>
    <w:rsid w:val="00EB4BA5"/>
    <w:rsid w:val="00EB7B28"/>
    <w:rsid w:val="00EC0ACC"/>
    <w:rsid w:val="00EC12CC"/>
    <w:rsid w:val="00EC242B"/>
    <w:rsid w:val="00EC25A1"/>
    <w:rsid w:val="00EC2A44"/>
    <w:rsid w:val="00EC309C"/>
    <w:rsid w:val="00EC35C1"/>
    <w:rsid w:val="00EC4A8C"/>
    <w:rsid w:val="00EC51A7"/>
    <w:rsid w:val="00ED0A69"/>
    <w:rsid w:val="00ED16D0"/>
    <w:rsid w:val="00ED2F82"/>
    <w:rsid w:val="00ED3E19"/>
    <w:rsid w:val="00ED41AD"/>
    <w:rsid w:val="00ED508A"/>
    <w:rsid w:val="00ED714C"/>
    <w:rsid w:val="00EE0A8E"/>
    <w:rsid w:val="00EE0D96"/>
    <w:rsid w:val="00EE1285"/>
    <w:rsid w:val="00EE26D5"/>
    <w:rsid w:val="00EE3D5B"/>
    <w:rsid w:val="00EE5944"/>
    <w:rsid w:val="00EE6064"/>
    <w:rsid w:val="00EE6C7E"/>
    <w:rsid w:val="00EF105A"/>
    <w:rsid w:val="00EF1081"/>
    <w:rsid w:val="00EF14BA"/>
    <w:rsid w:val="00EF15C4"/>
    <w:rsid w:val="00EF26AF"/>
    <w:rsid w:val="00EF2A53"/>
    <w:rsid w:val="00EF31D0"/>
    <w:rsid w:val="00EF3284"/>
    <w:rsid w:val="00EF3394"/>
    <w:rsid w:val="00EF5060"/>
    <w:rsid w:val="00EF515C"/>
    <w:rsid w:val="00EF5684"/>
    <w:rsid w:val="00EF6BCE"/>
    <w:rsid w:val="00EF7A73"/>
    <w:rsid w:val="00EF7DD5"/>
    <w:rsid w:val="00F00387"/>
    <w:rsid w:val="00F01105"/>
    <w:rsid w:val="00F01A0C"/>
    <w:rsid w:val="00F01D52"/>
    <w:rsid w:val="00F02F1F"/>
    <w:rsid w:val="00F032F7"/>
    <w:rsid w:val="00F036E5"/>
    <w:rsid w:val="00F03990"/>
    <w:rsid w:val="00F04A4B"/>
    <w:rsid w:val="00F04BD8"/>
    <w:rsid w:val="00F06A2E"/>
    <w:rsid w:val="00F06C2F"/>
    <w:rsid w:val="00F06F12"/>
    <w:rsid w:val="00F071D3"/>
    <w:rsid w:val="00F0726D"/>
    <w:rsid w:val="00F07F33"/>
    <w:rsid w:val="00F10649"/>
    <w:rsid w:val="00F1375D"/>
    <w:rsid w:val="00F1525B"/>
    <w:rsid w:val="00F15434"/>
    <w:rsid w:val="00F17359"/>
    <w:rsid w:val="00F17478"/>
    <w:rsid w:val="00F20528"/>
    <w:rsid w:val="00F20C31"/>
    <w:rsid w:val="00F21BE4"/>
    <w:rsid w:val="00F248CE"/>
    <w:rsid w:val="00F24D94"/>
    <w:rsid w:val="00F25127"/>
    <w:rsid w:val="00F2526E"/>
    <w:rsid w:val="00F267AB"/>
    <w:rsid w:val="00F27864"/>
    <w:rsid w:val="00F31FC1"/>
    <w:rsid w:val="00F32078"/>
    <w:rsid w:val="00F3226A"/>
    <w:rsid w:val="00F32643"/>
    <w:rsid w:val="00F33C0F"/>
    <w:rsid w:val="00F3445B"/>
    <w:rsid w:val="00F34F29"/>
    <w:rsid w:val="00F356DB"/>
    <w:rsid w:val="00F35B35"/>
    <w:rsid w:val="00F3717B"/>
    <w:rsid w:val="00F37971"/>
    <w:rsid w:val="00F37A6A"/>
    <w:rsid w:val="00F37EDE"/>
    <w:rsid w:val="00F411BA"/>
    <w:rsid w:val="00F41A00"/>
    <w:rsid w:val="00F41A1B"/>
    <w:rsid w:val="00F425AF"/>
    <w:rsid w:val="00F43AB8"/>
    <w:rsid w:val="00F43DC1"/>
    <w:rsid w:val="00F44520"/>
    <w:rsid w:val="00F46093"/>
    <w:rsid w:val="00F47227"/>
    <w:rsid w:val="00F47E70"/>
    <w:rsid w:val="00F5207F"/>
    <w:rsid w:val="00F52A41"/>
    <w:rsid w:val="00F537A8"/>
    <w:rsid w:val="00F53AEA"/>
    <w:rsid w:val="00F53C18"/>
    <w:rsid w:val="00F541D8"/>
    <w:rsid w:val="00F54718"/>
    <w:rsid w:val="00F60535"/>
    <w:rsid w:val="00F60A31"/>
    <w:rsid w:val="00F60AD8"/>
    <w:rsid w:val="00F62449"/>
    <w:rsid w:val="00F63217"/>
    <w:rsid w:val="00F653D0"/>
    <w:rsid w:val="00F658A1"/>
    <w:rsid w:val="00F65D95"/>
    <w:rsid w:val="00F66638"/>
    <w:rsid w:val="00F717D3"/>
    <w:rsid w:val="00F7432F"/>
    <w:rsid w:val="00F74C34"/>
    <w:rsid w:val="00F76F32"/>
    <w:rsid w:val="00F770A0"/>
    <w:rsid w:val="00F77E96"/>
    <w:rsid w:val="00F80BC1"/>
    <w:rsid w:val="00F80E4B"/>
    <w:rsid w:val="00F813AC"/>
    <w:rsid w:val="00F818A4"/>
    <w:rsid w:val="00F82867"/>
    <w:rsid w:val="00F82A2B"/>
    <w:rsid w:val="00F82FDD"/>
    <w:rsid w:val="00F832A2"/>
    <w:rsid w:val="00F84156"/>
    <w:rsid w:val="00F853CB"/>
    <w:rsid w:val="00F8614D"/>
    <w:rsid w:val="00F8670D"/>
    <w:rsid w:val="00F86EA8"/>
    <w:rsid w:val="00F903BC"/>
    <w:rsid w:val="00F90D4E"/>
    <w:rsid w:val="00F931EB"/>
    <w:rsid w:val="00F94632"/>
    <w:rsid w:val="00F95179"/>
    <w:rsid w:val="00F9599C"/>
    <w:rsid w:val="00F968CC"/>
    <w:rsid w:val="00FA02D3"/>
    <w:rsid w:val="00FA16BE"/>
    <w:rsid w:val="00FA21E7"/>
    <w:rsid w:val="00FA2583"/>
    <w:rsid w:val="00FA2F8F"/>
    <w:rsid w:val="00FA3599"/>
    <w:rsid w:val="00FA6212"/>
    <w:rsid w:val="00FA6DC5"/>
    <w:rsid w:val="00FB105D"/>
    <w:rsid w:val="00FB11B8"/>
    <w:rsid w:val="00FB1398"/>
    <w:rsid w:val="00FB39CC"/>
    <w:rsid w:val="00FB3ADB"/>
    <w:rsid w:val="00FB3B3A"/>
    <w:rsid w:val="00FB40C9"/>
    <w:rsid w:val="00FB4F2C"/>
    <w:rsid w:val="00FB5E48"/>
    <w:rsid w:val="00FB5ECF"/>
    <w:rsid w:val="00FB6098"/>
    <w:rsid w:val="00FB670B"/>
    <w:rsid w:val="00FB6EEF"/>
    <w:rsid w:val="00FC232F"/>
    <w:rsid w:val="00FC300B"/>
    <w:rsid w:val="00FC34A9"/>
    <w:rsid w:val="00FC404B"/>
    <w:rsid w:val="00FC4420"/>
    <w:rsid w:val="00FC44AD"/>
    <w:rsid w:val="00FC603D"/>
    <w:rsid w:val="00FC6574"/>
    <w:rsid w:val="00FD00DA"/>
    <w:rsid w:val="00FD00FD"/>
    <w:rsid w:val="00FD2EAC"/>
    <w:rsid w:val="00FD3D19"/>
    <w:rsid w:val="00FD401F"/>
    <w:rsid w:val="00FD4D61"/>
    <w:rsid w:val="00FD6D7C"/>
    <w:rsid w:val="00FD72E0"/>
    <w:rsid w:val="00FD7C17"/>
    <w:rsid w:val="00FE09B7"/>
    <w:rsid w:val="00FE206E"/>
    <w:rsid w:val="00FE2125"/>
    <w:rsid w:val="00FE2214"/>
    <w:rsid w:val="00FE2D6E"/>
    <w:rsid w:val="00FE580B"/>
    <w:rsid w:val="00FE7179"/>
    <w:rsid w:val="00FE7458"/>
    <w:rsid w:val="00FF148F"/>
    <w:rsid w:val="00FF3984"/>
    <w:rsid w:val="00FF3CB8"/>
    <w:rsid w:val="00FF410F"/>
    <w:rsid w:val="00FF4AED"/>
    <w:rsid w:val="00FF4D99"/>
    <w:rsid w:val="00FF7E32"/>
    <w:rsid w:val="00FF7E86"/>
    <w:rsid w:val="014C613C"/>
    <w:rsid w:val="018D025D"/>
    <w:rsid w:val="01A83C46"/>
    <w:rsid w:val="01D11587"/>
    <w:rsid w:val="01E305A8"/>
    <w:rsid w:val="01F34FBF"/>
    <w:rsid w:val="01F72CA8"/>
    <w:rsid w:val="0215595E"/>
    <w:rsid w:val="0222008D"/>
    <w:rsid w:val="02264514"/>
    <w:rsid w:val="022E51A4"/>
    <w:rsid w:val="02673E61"/>
    <w:rsid w:val="02B60D5E"/>
    <w:rsid w:val="02BA1505"/>
    <w:rsid w:val="02E5291D"/>
    <w:rsid w:val="032D3A42"/>
    <w:rsid w:val="033433CD"/>
    <w:rsid w:val="03425F66"/>
    <w:rsid w:val="03563CB7"/>
    <w:rsid w:val="03564C06"/>
    <w:rsid w:val="039D7F56"/>
    <w:rsid w:val="039F7E37"/>
    <w:rsid w:val="03E879F8"/>
    <w:rsid w:val="03E9547A"/>
    <w:rsid w:val="03FA7913"/>
    <w:rsid w:val="03FD3D3A"/>
    <w:rsid w:val="042F016D"/>
    <w:rsid w:val="04427F5A"/>
    <w:rsid w:val="04BB7C17"/>
    <w:rsid w:val="04E52208"/>
    <w:rsid w:val="04FA68C4"/>
    <w:rsid w:val="054A6E4D"/>
    <w:rsid w:val="057D414D"/>
    <w:rsid w:val="057E3312"/>
    <w:rsid w:val="05A3366B"/>
    <w:rsid w:val="05D94925"/>
    <w:rsid w:val="05F763A3"/>
    <w:rsid w:val="060D43B5"/>
    <w:rsid w:val="065B19FB"/>
    <w:rsid w:val="06875F8A"/>
    <w:rsid w:val="069C49EE"/>
    <w:rsid w:val="06A60EFF"/>
    <w:rsid w:val="06B46DD0"/>
    <w:rsid w:val="06CF0127"/>
    <w:rsid w:val="0701348E"/>
    <w:rsid w:val="070B051A"/>
    <w:rsid w:val="072510C4"/>
    <w:rsid w:val="074F536A"/>
    <w:rsid w:val="07724A47"/>
    <w:rsid w:val="07AF0524"/>
    <w:rsid w:val="07BC5B5E"/>
    <w:rsid w:val="07D02862"/>
    <w:rsid w:val="07DB0C2F"/>
    <w:rsid w:val="08011727"/>
    <w:rsid w:val="08020003"/>
    <w:rsid w:val="084A2225"/>
    <w:rsid w:val="088F199B"/>
    <w:rsid w:val="08952872"/>
    <w:rsid w:val="08A502BB"/>
    <w:rsid w:val="08E46EA7"/>
    <w:rsid w:val="08E73603"/>
    <w:rsid w:val="09261B0E"/>
    <w:rsid w:val="09390B2F"/>
    <w:rsid w:val="094A0522"/>
    <w:rsid w:val="09937F44"/>
    <w:rsid w:val="09D72C5F"/>
    <w:rsid w:val="09E06664"/>
    <w:rsid w:val="0A155E3B"/>
    <w:rsid w:val="0A1B45C1"/>
    <w:rsid w:val="0A397979"/>
    <w:rsid w:val="0A3D4B5A"/>
    <w:rsid w:val="0A887F96"/>
    <w:rsid w:val="0A8F6EE2"/>
    <w:rsid w:val="0AA2487E"/>
    <w:rsid w:val="0AB822A5"/>
    <w:rsid w:val="0AE5406E"/>
    <w:rsid w:val="0AF55CD0"/>
    <w:rsid w:val="0B3A05E1"/>
    <w:rsid w:val="0B6D4294"/>
    <w:rsid w:val="0B8E5780"/>
    <w:rsid w:val="0B911F88"/>
    <w:rsid w:val="0BA047A1"/>
    <w:rsid w:val="0C0227C0"/>
    <w:rsid w:val="0C2067E5"/>
    <w:rsid w:val="0C5C1F83"/>
    <w:rsid w:val="0C7350DF"/>
    <w:rsid w:val="0C8E0BA6"/>
    <w:rsid w:val="0CCB0A0B"/>
    <w:rsid w:val="0CEB0F40"/>
    <w:rsid w:val="0D200115"/>
    <w:rsid w:val="0D4F31E3"/>
    <w:rsid w:val="0D580381"/>
    <w:rsid w:val="0D6E3A97"/>
    <w:rsid w:val="0D770B24"/>
    <w:rsid w:val="0DC0221D"/>
    <w:rsid w:val="0E0328C9"/>
    <w:rsid w:val="0E511FD6"/>
    <w:rsid w:val="0EA04C4B"/>
    <w:rsid w:val="0EA67AA0"/>
    <w:rsid w:val="0EE77EE6"/>
    <w:rsid w:val="0EF252CF"/>
    <w:rsid w:val="0EF9321E"/>
    <w:rsid w:val="0F0E7B3C"/>
    <w:rsid w:val="0F1F4F0D"/>
    <w:rsid w:val="0F2E78E2"/>
    <w:rsid w:val="0F2F7B65"/>
    <w:rsid w:val="0F363083"/>
    <w:rsid w:val="0F4F1BEE"/>
    <w:rsid w:val="0F8A622C"/>
    <w:rsid w:val="0FA201B4"/>
    <w:rsid w:val="0FB86E23"/>
    <w:rsid w:val="10591EE1"/>
    <w:rsid w:val="106F4084"/>
    <w:rsid w:val="10776E02"/>
    <w:rsid w:val="107A2416"/>
    <w:rsid w:val="10985249"/>
    <w:rsid w:val="10990B4A"/>
    <w:rsid w:val="10F16DCD"/>
    <w:rsid w:val="11334387"/>
    <w:rsid w:val="1175017C"/>
    <w:rsid w:val="11AD4D91"/>
    <w:rsid w:val="12147728"/>
    <w:rsid w:val="12236F4E"/>
    <w:rsid w:val="124364D1"/>
    <w:rsid w:val="12552C20"/>
    <w:rsid w:val="12650CA8"/>
    <w:rsid w:val="12681C41"/>
    <w:rsid w:val="12A85450"/>
    <w:rsid w:val="12BD03DB"/>
    <w:rsid w:val="12BD714C"/>
    <w:rsid w:val="12E84E84"/>
    <w:rsid w:val="12F450A8"/>
    <w:rsid w:val="1303403E"/>
    <w:rsid w:val="13163A21"/>
    <w:rsid w:val="1345689B"/>
    <w:rsid w:val="1349056A"/>
    <w:rsid w:val="13CA6005"/>
    <w:rsid w:val="13D26C95"/>
    <w:rsid w:val="13DD51B0"/>
    <w:rsid w:val="13F935E5"/>
    <w:rsid w:val="14067D87"/>
    <w:rsid w:val="143F4E68"/>
    <w:rsid w:val="145E6879"/>
    <w:rsid w:val="147A2925"/>
    <w:rsid w:val="147A65F7"/>
    <w:rsid w:val="14974454"/>
    <w:rsid w:val="14EB1A7E"/>
    <w:rsid w:val="14F53A43"/>
    <w:rsid w:val="14FC1BFA"/>
    <w:rsid w:val="151946CE"/>
    <w:rsid w:val="155378AF"/>
    <w:rsid w:val="157079BA"/>
    <w:rsid w:val="15795F43"/>
    <w:rsid w:val="15965C5E"/>
    <w:rsid w:val="15B83632"/>
    <w:rsid w:val="161426C7"/>
    <w:rsid w:val="162177DE"/>
    <w:rsid w:val="163621E4"/>
    <w:rsid w:val="16935A7C"/>
    <w:rsid w:val="16BC527A"/>
    <w:rsid w:val="16CE6977"/>
    <w:rsid w:val="16E4081B"/>
    <w:rsid w:val="1734191A"/>
    <w:rsid w:val="176432ED"/>
    <w:rsid w:val="1782289D"/>
    <w:rsid w:val="178F77B7"/>
    <w:rsid w:val="17995A2F"/>
    <w:rsid w:val="17D07BB8"/>
    <w:rsid w:val="17DA45B1"/>
    <w:rsid w:val="17EE246B"/>
    <w:rsid w:val="18566DF0"/>
    <w:rsid w:val="186E7023"/>
    <w:rsid w:val="1876442F"/>
    <w:rsid w:val="18B03CAF"/>
    <w:rsid w:val="18B74E99"/>
    <w:rsid w:val="19035318"/>
    <w:rsid w:val="190A1AFF"/>
    <w:rsid w:val="1910208D"/>
    <w:rsid w:val="191C0440"/>
    <w:rsid w:val="195924A3"/>
    <w:rsid w:val="1961485C"/>
    <w:rsid w:val="19A52923"/>
    <w:rsid w:val="19AD2C06"/>
    <w:rsid w:val="19BD41E8"/>
    <w:rsid w:val="19BE7C49"/>
    <w:rsid w:val="19CE4C7D"/>
    <w:rsid w:val="19D20E68"/>
    <w:rsid w:val="19D44CC7"/>
    <w:rsid w:val="1A1700B7"/>
    <w:rsid w:val="1A81100C"/>
    <w:rsid w:val="1A9234A5"/>
    <w:rsid w:val="1B4013C3"/>
    <w:rsid w:val="1B9815C3"/>
    <w:rsid w:val="1BFA1057"/>
    <w:rsid w:val="1C220170"/>
    <w:rsid w:val="1C2C4F31"/>
    <w:rsid w:val="1CF3322F"/>
    <w:rsid w:val="1D0009C6"/>
    <w:rsid w:val="1D0B4E33"/>
    <w:rsid w:val="1D361FA1"/>
    <w:rsid w:val="1D640224"/>
    <w:rsid w:val="1DB34347"/>
    <w:rsid w:val="1DBB4856"/>
    <w:rsid w:val="1DCC746F"/>
    <w:rsid w:val="1DDF277A"/>
    <w:rsid w:val="1DEB39C5"/>
    <w:rsid w:val="1DEB44A1"/>
    <w:rsid w:val="1DF5393E"/>
    <w:rsid w:val="1E02078A"/>
    <w:rsid w:val="1E133467"/>
    <w:rsid w:val="1ECF005A"/>
    <w:rsid w:val="1ED27E81"/>
    <w:rsid w:val="1EF53A59"/>
    <w:rsid w:val="1F380BBF"/>
    <w:rsid w:val="1FB83797"/>
    <w:rsid w:val="1FDA4FD1"/>
    <w:rsid w:val="20002145"/>
    <w:rsid w:val="200A5B20"/>
    <w:rsid w:val="205C42A5"/>
    <w:rsid w:val="20695ACD"/>
    <w:rsid w:val="20813340"/>
    <w:rsid w:val="209059F9"/>
    <w:rsid w:val="20D1643B"/>
    <w:rsid w:val="20D76A47"/>
    <w:rsid w:val="20E46ED7"/>
    <w:rsid w:val="21625D51"/>
    <w:rsid w:val="216A5351"/>
    <w:rsid w:val="21F42BC1"/>
    <w:rsid w:val="21F97BBF"/>
    <w:rsid w:val="220358DB"/>
    <w:rsid w:val="220A0AE9"/>
    <w:rsid w:val="220C6C40"/>
    <w:rsid w:val="226E19D0"/>
    <w:rsid w:val="22AA6F05"/>
    <w:rsid w:val="22D66F38"/>
    <w:rsid w:val="22DA1080"/>
    <w:rsid w:val="23436267"/>
    <w:rsid w:val="23CF16CE"/>
    <w:rsid w:val="24435E0A"/>
    <w:rsid w:val="24752F34"/>
    <w:rsid w:val="24A148B0"/>
    <w:rsid w:val="24A20D4F"/>
    <w:rsid w:val="24C044DA"/>
    <w:rsid w:val="24F84634"/>
    <w:rsid w:val="254060AD"/>
    <w:rsid w:val="25502AC4"/>
    <w:rsid w:val="25C97EC1"/>
    <w:rsid w:val="25EF5C27"/>
    <w:rsid w:val="25EF6586"/>
    <w:rsid w:val="264F6C21"/>
    <w:rsid w:val="265B6EBA"/>
    <w:rsid w:val="265E5200"/>
    <w:rsid w:val="267E533A"/>
    <w:rsid w:val="269B2AE6"/>
    <w:rsid w:val="26CD6B38"/>
    <w:rsid w:val="27214ED9"/>
    <w:rsid w:val="272A364F"/>
    <w:rsid w:val="273803E6"/>
    <w:rsid w:val="27401D9B"/>
    <w:rsid w:val="274A4B27"/>
    <w:rsid w:val="2781405D"/>
    <w:rsid w:val="27B04ADB"/>
    <w:rsid w:val="27D60AE3"/>
    <w:rsid w:val="27DF3718"/>
    <w:rsid w:val="27E745D1"/>
    <w:rsid w:val="27EF069B"/>
    <w:rsid w:val="27FF492C"/>
    <w:rsid w:val="281213CE"/>
    <w:rsid w:val="281510B0"/>
    <w:rsid w:val="281D195D"/>
    <w:rsid w:val="289026F4"/>
    <w:rsid w:val="28C433F0"/>
    <w:rsid w:val="292F62A6"/>
    <w:rsid w:val="29413FA0"/>
    <w:rsid w:val="296E5E07"/>
    <w:rsid w:val="29741F0F"/>
    <w:rsid w:val="29815764"/>
    <w:rsid w:val="298924FD"/>
    <w:rsid w:val="29937778"/>
    <w:rsid w:val="29A504DF"/>
    <w:rsid w:val="29BB2683"/>
    <w:rsid w:val="29D137E8"/>
    <w:rsid w:val="2A134397"/>
    <w:rsid w:val="2A171D12"/>
    <w:rsid w:val="2A2E29C2"/>
    <w:rsid w:val="2A5649CC"/>
    <w:rsid w:val="2A572C49"/>
    <w:rsid w:val="2A870604"/>
    <w:rsid w:val="2AB268AE"/>
    <w:rsid w:val="2ACC52FA"/>
    <w:rsid w:val="2AD33150"/>
    <w:rsid w:val="2AD56653"/>
    <w:rsid w:val="2AD71504"/>
    <w:rsid w:val="2ADA2052"/>
    <w:rsid w:val="2AE568ED"/>
    <w:rsid w:val="2B501E79"/>
    <w:rsid w:val="2B7E609A"/>
    <w:rsid w:val="2B9518B5"/>
    <w:rsid w:val="2BD26409"/>
    <w:rsid w:val="2BD31184"/>
    <w:rsid w:val="2BEE4BA1"/>
    <w:rsid w:val="2C0D5456"/>
    <w:rsid w:val="2C507445"/>
    <w:rsid w:val="2C6270DE"/>
    <w:rsid w:val="2D375D60"/>
    <w:rsid w:val="2D6D4A86"/>
    <w:rsid w:val="2D9245E1"/>
    <w:rsid w:val="2DCF1BCB"/>
    <w:rsid w:val="2E15678D"/>
    <w:rsid w:val="2E6B07B8"/>
    <w:rsid w:val="2EB371A2"/>
    <w:rsid w:val="2EC8784D"/>
    <w:rsid w:val="2EF80DE5"/>
    <w:rsid w:val="2EFB2AF0"/>
    <w:rsid w:val="2F012B4F"/>
    <w:rsid w:val="2F2676CB"/>
    <w:rsid w:val="2F527562"/>
    <w:rsid w:val="2F835A02"/>
    <w:rsid w:val="2F8A752C"/>
    <w:rsid w:val="2FAB545C"/>
    <w:rsid w:val="2FD82F0E"/>
    <w:rsid w:val="2FEC2AAD"/>
    <w:rsid w:val="2FFF3C4C"/>
    <w:rsid w:val="30406FD1"/>
    <w:rsid w:val="30774293"/>
    <w:rsid w:val="30AA09A1"/>
    <w:rsid w:val="30BB3500"/>
    <w:rsid w:val="31052CAB"/>
    <w:rsid w:val="31232CF3"/>
    <w:rsid w:val="312A7037"/>
    <w:rsid w:val="315063BD"/>
    <w:rsid w:val="315452FE"/>
    <w:rsid w:val="315F16D9"/>
    <w:rsid w:val="317C35BE"/>
    <w:rsid w:val="319201BE"/>
    <w:rsid w:val="319D3AF3"/>
    <w:rsid w:val="31E10EC0"/>
    <w:rsid w:val="32060C09"/>
    <w:rsid w:val="3247650A"/>
    <w:rsid w:val="325532A1"/>
    <w:rsid w:val="32BD2B5B"/>
    <w:rsid w:val="32C41357"/>
    <w:rsid w:val="32E31A06"/>
    <w:rsid w:val="32E95D13"/>
    <w:rsid w:val="32FE3FB2"/>
    <w:rsid w:val="332D0D86"/>
    <w:rsid w:val="334B2535"/>
    <w:rsid w:val="334B4AB3"/>
    <w:rsid w:val="336071C5"/>
    <w:rsid w:val="3373305A"/>
    <w:rsid w:val="338108EC"/>
    <w:rsid w:val="33903029"/>
    <w:rsid w:val="339D6ABC"/>
    <w:rsid w:val="33A42E3F"/>
    <w:rsid w:val="33F93952"/>
    <w:rsid w:val="343B54E1"/>
    <w:rsid w:val="346045FB"/>
    <w:rsid w:val="346B142D"/>
    <w:rsid w:val="34866A39"/>
    <w:rsid w:val="34BF6107"/>
    <w:rsid w:val="34CD21CF"/>
    <w:rsid w:val="34DD7448"/>
    <w:rsid w:val="3515582A"/>
    <w:rsid w:val="35515208"/>
    <w:rsid w:val="3553657B"/>
    <w:rsid w:val="355801CD"/>
    <w:rsid w:val="358B4509"/>
    <w:rsid w:val="359F7506"/>
    <w:rsid w:val="35A73A20"/>
    <w:rsid w:val="35B361A6"/>
    <w:rsid w:val="35B93933"/>
    <w:rsid w:val="35C908F0"/>
    <w:rsid w:val="35D344DD"/>
    <w:rsid w:val="35EF73B0"/>
    <w:rsid w:val="35FA439C"/>
    <w:rsid w:val="35FF6E19"/>
    <w:rsid w:val="36075FA0"/>
    <w:rsid w:val="36105952"/>
    <w:rsid w:val="36111DC3"/>
    <w:rsid w:val="36587784"/>
    <w:rsid w:val="365C313C"/>
    <w:rsid w:val="36B12866"/>
    <w:rsid w:val="36C727EB"/>
    <w:rsid w:val="36CB3A8F"/>
    <w:rsid w:val="36E80182"/>
    <w:rsid w:val="37311601"/>
    <w:rsid w:val="3736353A"/>
    <w:rsid w:val="375C6D13"/>
    <w:rsid w:val="376D09FB"/>
    <w:rsid w:val="379231B9"/>
    <w:rsid w:val="37A63889"/>
    <w:rsid w:val="37AE13ED"/>
    <w:rsid w:val="37D913AF"/>
    <w:rsid w:val="37E706C5"/>
    <w:rsid w:val="380534F8"/>
    <w:rsid w:val="38253A2D"/>
    <w:rsid w:val="38550959"/>
    <w:rsid w:val="38F94AD2"/>
    <w:rsid w:val="39504414"/>
    <w:rsid w:val="398B0D75"/>
    <w:rsid w:val="39D620EE"/>
    <w:rsid w:val="3A686A7E"/>
    <w:rsid w:val="3AC86996"/>
    <w:rsid w:val="3B2D5F23"/>
    <w:rsid w:val="3B7F4A58"/>
    <w:rsid w:val="3BB665C0"/>
    <w:rsid w:val="3BF579BE"/>
    <w:rsid w:val="3C0C26AB"/>
    <w:rsid w:val="3C170977"/>
    <w:rsid w:val="3C4614EB"/>
    <w:rsid w:val="3C69372C"/>
    <w:rsid w:val="3C7D12E8"/>
    <w:rsid w:val="3CD44E70"/>
    <w:rsid w:val="3CF823AB"/>
    <w:rsid w:val="3D1847CA"/>
    <w:rsid w:val="3DCB426D"/>
    <w:rsid w:val="3EB47105"/>
    <w:rsid w:val="3EE811C2"/>
    <w:rsid w:val="3EFB4677"/>
    <w:rsid w:val="3F661A90"/>
    <w:rsid w:val="3F9E7896"/>
    <w:rsid w:val="3FD9276F"/>
    <w:rsid w:val="3FF7559A"/>
    <w:rsid w:val="400E4CA8"/>
    <w:rsid w:val="40377F5B"/>
    <w:rsid w:val="403F4FF6"/>
    <w:rsid w:val="40595BA0"/>
    <w:rsid w:val="405D64BF"/>
    <w:rsid w:val="409B660A"/>
    <w:rsid w:val="40BF3346"/>
    <w:rsid w:val="40CC3506"/>
    <w:rsid w:val="40D12367"/>
    <w:rsid w:val="41035C63"/>
    <w:rsid w:val="419231EE"/>
    <w:rsid w:val="41A55BC2"/>
    <w:rsid w:val="41CD7C80"/>
    <w:rsid w:val="41ED1C45"/>
    <w:rsid w:val="41FB0B50"/>
    <w:rsid w:val="42117470"/>
    <w:rsid w:val="42184DFE"/>
    <w:rsid w:val="42CF2B53"/>
    <w:rsid w:val="433F5964"/>
    <w:rsid w:val="435C7E52"/>
    <w:rsid w:val="43F17986"/>
    <w:rsid w:val="440D1652"/>
    <w:rsid w:val="441B10E6"/>
    <w:rsid w:val="44B567CA"/>
    <w:rsid w:val="456033DF"/>
    <w:rsid w:val="45C82CE2"/>
    <w:rsid w:val="45F261D2"/>
    <w:rsid w:val="46264839"/>
    <w:rsid w:val="4629049A"/>
    <w:rsid w:val="46302433"/>
    <w:rsid w:val="465215A1"/>
    <w:rsid w:val="4670321D"/>
    <w:rsid w:val="46A17F87"/>
    <w:rsid w:val="46B4048E"/>
    <w:rsid w:val="46B94916"/>
    <w:rsid w:val="46C30AA8"/>
    <w:rsid w:val="471D18E0"/>
    <w:rsid w:val="47315859"/>
    <w:rsid w:val="47A60015"/>
    <w:rsid w:val="480745B8"/>
    <w:rsid w:val="484A4A5F"/>
    <w:rsid w:val="484A762B"/>
    <w:rsid w:val="486D3062"/>
    <w:rsid w:val="487B7DFA"/>
    <w:rsid w:val="48B91E5D"/>
    <w:rsid w:val="494B352F"/>
    <w:rsid w:val="494D48CF"/>
    <w:rsid w:val="495A19E6"/>
    <w:rsid w:val="49722332"/>
    <w:rsid w:val="498153A5"/>
    <w:rsid w:val="49A225D5"/>
    <w:rsid w:val="49AE39C0"/>
    <w:rsid w:val="49B24CD9"/>
    <w:rsid w:val="49FD6C71"/>
    <w:rsid w:val="4A503DA0"/>
    <w:rsid w:val="4A8F02C7"/>
    <w:rsid w:val="4AB97976"/>
    <w:rsid w:val="4ABE46D3"/>
    <w:rsid w:val="4AD621D7"/>
    <w:rsid w:val="4AE72472"/>
    <w:rsid w:val="4B095EA9"/>
    <w:rsid w:val="4B140D86"/>
    <w:rsid w:val="4B157191"/>
    <w:rsid w:val="4B4B13BA"/>
    <w:rsid w:val="4B711925"/>
    <w:rsid w:val="4B7F33AD"/>
    <w:rsid w:val="4BBF3505"/>
    <w:rsid w:val="4BC9670A"/>
    <w:rsid w:val="4BFD41B8"/>
    <w:rsid w:val="4C4A7B3B"/>
    <w:rsid w:val="4C675DE6"/>
    <w:rsid w:val="4D1662CA"/>
    <w:rsid w:val="4D1F7833"/>
    <w:rsid w:val="4D226519"/>
    <w:rsid w:val="4D6A2190"/>
    <w:rsid w:val="4D937AD1"/>
    <w:rsid w:val="4DAE1980"/>
    <w:rsid w:val="4DD66164"/>
    <w:rsid w:val="4DDE46CE"/>
    <w:rsid w:val="4DFD45B3"/>
    <w:rsid w:val="4E19102F"/>
    <w:rsid w:val="4E2C4828"/>
    <w:rsid w:val="4E566916"/>
    <w:rsid w:val="4E7848CC"/>
    <w:rsid w:val="4EAD7325"/>
    <w:rsid w:val="4EB93137"/>
    <w:rsid w:val="4EE12C28"/>
    <w:rsid w:val="4F0963B9"/>
    <w:rsid w:val="4F23494D"/>
    <w:rsid w:val="4F3D6A72"/>
    <w:rsid w:val="4F416513"/>
    <w:rsid w:val="4F722566"/>
    <w:rsid w:val="4FBF6DE2"/>
    <w:rsid w:val="4FCE4FAA"/>
    <w:rsid w:val="500F5C67"/>
    <w:rsid w:val="50307219"/>
    <w:rsid w:val="505D3275"/>
    <w:rsid w:val="506B5F4E"/>
    <w:rsid w:val="50AB15EE"/>
    <w:rsid w:val="50B22EF2"/>
    <w:rsid w:val="50E36F44"/>
    <w:rsid w:val="511C1546"/>
    <w:rsid w:val="51334745"/>
    <w:rsid w:val="5139664E"/>
    <w:rsid w:val="51455CE4"/>
    <w:rsid w:val="51B30516"/>
    <w:rsid w:val="51B620D3"/>
    <w:rsid w:val="51D13349"/>
    <w:rsid w:val="51F06004"/>
    <w:rsid w:val="5203159A"/>
    <w:rsid w:val="5210047C"/>
    <w:rsid w:val="524D7D37"/>
    <w:rsid w:val="5251711B"/>
    <w:rsid w:val="52532422"/>
    <w:rsid w:val="526B7CC5"/>
    <w:rsid w:val="526D0FC9"/>
    <w:rsid w:val="528817F3"/>
    <w:rsid w:val="528A4CF6"/>
    <w:rsid w:val="52CD22E8"/>
    <w:rsid w:val="52F158BE"/>
    <w:rsid w:val="52F30EA2"/>
    <w:rsid w:val="532D3606"/>
    <w:rsid w:val="534C4DB4"/>
    <w:rsid w:val="538C5F06"/>
    <w:rsid w:val="53C04D73"/>
    <w:rsid w:val="53F058C2"/>
    <w:rsid w:val="53F41D5B"/>
    <w:rsid w:val="53FB16D5"/>
    <w:rsid w:val="541B404C"/>
    <w:rsid w:val="541F12EC"/>
    <w:rsid w:val="544D1B39"/>
    <w:rsid w:val="54606E7B"/>
    <w:rsid w:val="54653303"/>
    <w:rsid w:val="548825BE"/>
    <w:rsid w:val="549E4761"/>
    <w:rsid w:val="54BB5BE7"/>
    <w:rsid w:val="54BD3CE0"/>
    <w:rsid w:val="54DD7B6A"/>
    <w:rsid w:val="54DF64CE"/>
    <w:rsid w:val="55147C23"/>
    <w:rsid w:val="5552550A"/>
    <w:rsid w:val="556F7038"/>
    <w:rsid w:val="557B2E4B"/>
    <w:rsid w:val="55B26536"/>
    <w:rsid w:val="55C44544"/>
    <w:rsid w:val="55DA66E7"/>
    <w:rsid w:val="55DD34AB"/>
    <w:rsid w:val="562F3BF3"/>
    <w:rsid w:val="56301675"/>
    <w:rsid w:val="567468E6"/>
    <w:rsid w:val="567F4C77"/>
    <w:rsid w:val="56C500AD"/>
    <w:rsid w:val="57047920"/>
    <w:rsid w:val="576D107C"/>
    <w:rsid w:val="578C2F8C"/>
    <w:rsid w:val="57ED428A"/>
    <w:rsid w:val="581026A8"/>
    <w:rsid w:val="581202D3"/>
    <w:rsid w:val="58DF7E97"/>
    <w:rsid w:val="58F00D27"/>
    <w:rsid w:val="591607DA"/>
    <w:rsid w:val="59356845"/>
    <w:rsid w:val="59537C18"/>
    <w:rsid w:val="595827BF"/>
    <w:rsid w:val="59833FEA"/>
    <w:rsid w:val="59A8293C"/>
    <w:rsid w:val="59B15A33"/>
    <w:rsid w:val="5A0061B7"/>
    <w:rsid w:val="5A0356AA"/>
    <w:rsid w:val="5A4056A2"/>
    <w:rsid w:val="5AA708CA"/>
    <w:rsid w:val="5AAF3758"/>
    <w:rsid w:val="5AB07218"/>
    <w:rsid w:val="5AB67A3E"/>
    <w:rsid w:val="5AB752E1"/>
    <w:rsid w:val="5AC13672"/>
    <w:rsid w:val="5ACA21D3"/>
    <w:rsid w:val="5B253396"/>
    <w:rsid w:val="5B474BD0"/>
    <w:rsid w:val="5B723495"/>
    <w:rsid w:val="5B776C78"/>
    <w:rsid w:val="5B8F2A37"/>
    <w:rsid w:val="5B925F49"/>
    <w:rsid w:val="5BA46B7F"/>
    <w:rsid w:val="5BB36B1D"/>
    <w:rsid w:val="5BBD2610"/>
    <w:rsid w:val="5BBF64C9"/>
    <w:rsid w:val="5BE15FE0"/>
    <w:rsid w:val="5BF96BF2"/>
    <w:rsid w:val="5C08720C"/>
    <w:rsid w:val="5C1B4BA8"/>
    <w:rsid w:val="5C395D8A"/>
    <w:rsid w:val="5C553A88"/>
    <w:rsid w:val="5C720E3A"/>
    <w:rsid w:val="5C907367"/>
    <w:rsid w:val="5C95197E"/>
    <w:rsid w:val="5C9522F3"/>
    <w:rsid w:val="5CBB7348"/>
    <w:rsid w:val="5CFD0A1E"/>
    <w:rsid w:val="5D121B72"/>
    <w:rsid w:val="5D695B4F"/>
    <w:rsid w:val="5D6F32DB"/>
    <w:rsid w:val="5DA96925"/>
    <w:rsid w:val="5DB03818"/>
    <w:rsid w:val="5DD87487"/>
    <w:rsid w:val="5DE97722"/>
    <w:rsid w:val="5E2F4613"/>
    <w:rsid w:val="5EE26B7E"/>
    <w:rsid w:val="5EF445D0"/>
    <w:rsid w:val="5F3054BA"/>
    <w:rsid w:val="5F573207"/>
    <w:rsid w:val="5F682BD3"/>
    <w:rsid w:val="5F890C0F"/>
    <w:rsid w:val="5F8B48CF"/>
    <w:rsid w:val="5FA77772"/>
    <w:rsid w:val="5FE11A5B"/>
    <w:rsid w:val="5FF6617D"/>
    <w:rsid w:val="603B74F8"/>
    <w:rsid w:val="60413C78"/>
    <w:rsid w:val="60BD6086"/>
    <w:rsid w:val="60E03B7C"/>
    <w:rsid w:val="60E662ED"/>
    <w:rsid w:val="60FA53D4"/>
    <w:rsid w:val="61082B42"/>
    <w:rsid w:val="615D4C39"/>
    <w:rsid w:val="61645410"/>
    <w:rsid w:val="61820387"/>
    <w:rsid w:val="619E7143"/>
    <w:rsid w:val="61A412A8"/>
    <w:rsid w:val="61C340DA"/>
    <w:rsid w:val="61C74E6E"/>
    <w:rsid w:val="61D64BE1"/>
    <w:rsid w:val="61DB091C"/>
    <w:rsid w:val="61FB33CF"/>
    <w:rsid w:val="62375ADB"/>
    <w:rsid w:val="624D6B21"/>
    <w:rsid w:val="625217F8"/>
    <w:rsid w:val="625C68EC"/>
    <w:rsid w:val="62AF0F0D"/>
    <w:rsid w:val="62E377A4"/>
    <w:rsid w:val="63080089"/>
    <w:rsid w:val="6317701F"/>
    <w:rsid w:val="634929BB"/>
    <w:rsid w:val="6361131A"/>
    <w:rsid w:val="636C3949"/>
    <w:rsid w:val="638E01A3"/>
    <w:rsid w:val="640B49E8"/>
    <w:rsid w:val="64152EF1"/>
    <w:rsid w:val="64260846"/>
    <w:rsid w:val="643E22D7"/>
    <w:rsid w:val="646D417B"/>
    <w:rsid w:val="6491688B"/>
    <w:rsid w:val="64B557C6"/>
    <w:rsid w:val="64BC5683"/>
    <w:rsid w:val="64C56F82"/>
    <w:rsid w:val="64E229EB"/>
    <w:rsid w:val="651153FC"/>
    <w:rsid w:val="651548E6"/>
    <w:rsid w:val="652D670A"/>
    <w:rsid w:val="65911855"/>
    <w:rsid w:val="659351B4"/>
    <w:rsid w:val="65964878"/>
    <w:rsid w:val="65A93AD5"/>
    <w:rsid w:val="65B10A4C"/>
    <w:rsid w:val="65BF14FC"/>
    <w:rsid w:val="65CE3120"/>
    <w:rsid w:val="66100001"/>
    <w:rsid w:val="665A641C"/>
    <w:rsid w:val="66635D8E"/>
    <w:rsid w:val="66911854"/>
    <w:rsid w:val="66BB3678"/>
    <w:rsid w:val="671F493B"/>
    <w:rsid w:val="67483853"/>
    <w:rsid w:val="67C4094C"/>
    <w:rsid w:val="67CF2561"/>
    <w:rsid w:val="67E67A0B"/>
    <w:rsid w:val="68382E89"/>
    <w:rsid w:val="6861624C"/>
    <w:rsid w:val="6868145A"/>
    <w:rsid w:val="689252E2"/>
    <w:rsid w:val="68C84CF7"/>
    <w:rsid w:val="68D9397B"/>
    <w:rsid w:val="68EB61B0"/>
    <w:rsid w:val="6925180D"/>
    <w:rsid w:val="694D432C"/>
    <w:rsid w:val="69B555BB"/>
    <w:rsid w:val="69B82081"/>
    <w:rsid w:val="69D53BAF"/>
    <w:rsid w:val="69D751C3"/>
    <w:rsid w:val="69E50BD6"/>
    <w:rsid w:val="69F17C5C"/>
    <w:rsid w:val="69FE624D"/>
    <w:rsid w:val="6A02377A"/>
    <w:rsid w:val="6A401060"/>
    <w:rsid w:val="6A572E84"/>
    <w:rsid w:val="6A8E1EE8"/>
    <w:rsid w:val="6A9929F4"/>
    <w:rsid w:val="6A9F107A"/>
    <w:rsid w:val="6AAF1314"/>
    <w:rsid w:val="6AE139E9"/>
    <w:rsid w:val="6AFB786C"/>
    <w:rsid w:val="6B181A54"/>
    <w:rsid w:val="6B1F06CE"/>
    <w:rsid w:val="6B223851"/>
    <w:rsid w:val="6B3A424C"/>
    <w:rsid w:val="6B5159A7"/>
    <w:rsid w:val="6B9D63D4"/>
    <w:rsid w:val="6BA21BA1"/>
    <w:rsid w:val="6C333193"/>
    <w:rsid w:val="6C5C3CA4"/>
    <w:rsid w:val="6CD21613"/>
    <w:rsid w:val="6D216B9A"/>
    <w:rsid w:val="6D4F3D4C"/>
    <w:rsid w:val="6D935BD4"/>
    <w:rsid w:val="6D9B568E"/>
    <w:rsid w:val="6DAE4200"/>
    <w:rsid w:val="6DD66921"/>
    <w:rsid w:val="6E0E0133"/>
    <w:rsid w:val="6E1938AF"/>
    <w:rsid w:val="6E2F61FA"/>
    <w:rsid w:val="6E44715E"/>
    <w:rsid w:val="6E700F51"/>
    <w:rsid w:val="6E923CE9"/>
    <w:rsid w:val="6EB45CAC"/>
    <w:rsid w:val="6F4C69AD"/>
    <w:rsid w:val="6F6A1F57"/>
    <w:rsid w:val="6F6F1C62"/>
    <w:rsid w:val="6FC12966"/>
    <w:rsid w:val="6FC62D9A"/>
    <w:rsid w:val="6FD8201A"/>
    <w:rsid w:val="704706D5"/>
    <w:rsid w:val="70524453"/>
    <w:rsid w:val="70616C6C"/>
    <w:rsid w:val="70926FBF"/>
    <w:rsid w:val="70A55D29"/>
    <w:rsid w:val="70C14D09"/>
    <w:rsid w:val="70DC0B34"/>
    <w:rsid w:val="70EB6BD0"/>
    <w:rsid w:val="710E51B2"/>
    <w:rsid w:val="714D5970"/>
    <w:rsid w:val="71637B14"/>
    <w:rsid w:val="717D3F41"/>
    <w:rsid w:val="71D31EBE"/>
    <w:rsid w:val="72033FBF"/>
    <w:rsid w:val="722630D5"/>
    <w:rsid w:val="722F17E6"/>
    <w:rsid w:val="72623A95"/>
    <w:rsid w:val="72B92643"/>
    <w:rsid w:val="72EC6AF4"/>
    <w:rsid w:val="73277DA9"/>
    <w:rsid w:val="7355593E"/>
    <w:rsid w:val="737161AC"/>
    <w:rsid w:val="73B068E0"/>
    <w:rsid w:val="73B50E3C"/>
    <w:rsid w:val="73D9417E"/>
    <w:rsid w:val="740622E5"/>
    <w:rsid w:val="744A5358"/>
    <w:rsid w:val="7457420E"/>
    <w:rsid w:val="747F76B9"/>
    <w:rsid w:val="75173427"/>
    <w:rsid w:val="75776CC4"/>
    <w:rsid w:val="757B0F4D"/>
    <w:rsid w:val="75982A7C"/>
    <w:rsid w:val="75BE4EBA"/>
    <w:rsid w:val="75CA47F7"/>
    <w:rsid w:val="75E727FB"/>
    <w:rsid w:val="75F45394"/>
    <w:rsid w:val="7603212B"/>
    <w:rsid w:val="76261761"/>
    <w:rsid w:val="7648159B"/>
    <w:rsid w:val="764D2B72"/>
    <w:rsid w:val="767903E0"/>
    <w:rsid w:val="7679235C"/>
    <w:rsid w:val="76804F78"/>
    <w:rsid w:val="76C738C9"/>
    <w:rsid w:val="76EC0172"/>
    <w:rsid w:val="774614BE"/>
    <w:rsid w:val="774C7F36"/>
    <w:rsid w:val="774D0E49"/>
    <w:rsid w:val="77AE3C14"/>
    <w:rsid w:val="78056494"/>
    <w:rsid w:val="781E371F"/>
    <w:rsid w:val="783B3603"/>
    <w:rsid w:val="78484564"/>
    <w:rsid w:val="78543BF9"/>
    <w:rsid w:val="78574B7E"/>
    <w:rsid w:val="789A0BC5"/>
    <w:rsid w:val="78CE4A6E"/>
    <w:rsid w:val="78F3550D"/>
    <w:rsid w:val="78F73403"/>
    <w:rsid w:val="791529B3"/>
    <w:rsid w:val="79265C6B"/>
    <w:rsid w:val="793F5645"/>
    <w:rsid w:val="795B6ABE"/>
    <w:rsid w:val="79822FE7"/>
    <w:rsid w:val="79936B04"/>
    <w:rsid w:val="7A1213DD"/>
    <w:rsid w:val="7A2405F1"/>
    <w:rsid w:val="7A4D5F33"/>
    <w:rsid w:val="7A5043A3"/>
    <w:rsid w:val="7AAE4CD2"/>
    <w:rsid w:val="7AD1070A"/>
    <w:rsid w:val="7ADB231E"/>
    <w:rsid w:val="7AE560B4"/>
    <w:rsid w:val="7AF6674C"/>
    <w:rsid w:val="7B2A209D"/>
    <w:rsid w:val="7B695405"/>
    <w:rsid w:val="7B7956A0"/>
    <w:rsid w:val="7BDD4292"/>
    <w:rsid w:val="7BF817F1"/>
    <w:rsid w:val="7C306534"/>
    <w:rsid w:val="7C365DE1"/>
    <w:rsid w:val="7C5C1516"/>
    <w:rsid w:val="7CC43021"/>
    <w:rsid w:val="7D1608F8"/>
    <w:rsid w:val="7D59045C"/>
    <w:rsid w:val="7D7D2B38"/>
    <w:rsid w:val="7D99569A"/>
    <w:rsid w:val="7DBF115D"/>
    <w:rsid w:val="7DE30098"/>
    <w:rsid w:val="7E3A3ACB"/>
    <w:rsid w:val="7E4435B5"/>
    <w:rsid w:val="7E672870"/>
    <w:rsid w:val="7E8A1B2B"/>
    <w:rsid w:val="7E9F78D0"/>
    <w:rsid w:val="7EAC5562"/>
    <w:rsid w:val="7EAF2C64"/>
    <w:rsid w:val="7EDD04DE"/>
    <w:rsid w:val="7F1D37DF"/>
    <w:rsid w:val="7F2D5F40"/>
    <w:rsid w:val="7F2E4837"/>
    <w:rsid w:val="7F307D3A"/>
    <w:rsid w:val="7F362269"/>
    <w:rsid w:val="7F6F0306"/>
    <w:rsid w:val="7FBE66A4"/>
    <w:rsid w:val="7FC81E1E"/>
    <w:rsid w:val="7FDD7E5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nhideWhenUsed="0" w:uiPriority="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1"/>
    <w:qFormat/>
    <w:uiPriority w:val="0"/>
    <w:pPr>
      <w:numPr>
        <w:ilvl w:val="0"/>
        <w:numId w:val="1"/>
      </w:numPr>
      <w:autoSpaceDE w:val="0"/>
      <w:autoSpaceDN w:val="0"/>
      <w:adjustRightInd w:val="0"/>
      <w:snapToGrid w:val="0"/>
      <w:spacing w:line="360" w:lineRule="auto"/>
      <w:jc w:val="center"/>
      <w:outlineLvl w:val="0"/>
    </w:pPr>
    <w:rPr>
      <w:rFonts w:eastAsia="黑体"/>
      <w:sz w:val="44"/>
      <w:szCs w:val="44"/>
    </w:rPr>
  </w:style>
  <w:style w:type="paragraph" w:styleId="4">
    <w:name w:val="heading 2"/>
    <w:basedOn w:val="1"/>
    <w:next w:val="1"/>
    <w:link w:val="191"/>
    <w:qFormat/>
    <w:uiPriority w:val="0"/>
    <w:pPr>
      <w:autoSpaceDE w:val="0"/>
      <w:autoSpaceDN w:val="0"/>
      <w:adjustRightInd w:val="0"/>
      <w:snapToGrid w:val="0"/>
      <w:spacing w:line="360" w:lineRule="auto"/>
      <w:jc w:val="left"/>
      <w:outlineLvl w:val="1"/>
    </w:pPr>
    <w:rPr>
      <w:rFonts w:ascii="仿宋_GB2312" w:eastAsia="仿宋_GB2312" w:cs="MingLiU"/>
      <w:b/>
      <w:spacing w:val="1"/>
      <w:w w:val="99"/>
      <w:kern w:val="0"/>
      <w:sz w:val="28"/>
      <w:szCs w:val="32"/>
    </w:rPr>
  </w:style>
  <w:style w:type="paragraph" w:styleId="5">
    <w:name w:val="heading 3"/>
    <w:basedOn w:val="1"/>
    <w:next w:val="1"/>
    <w:link w:val="73"/>
    <w:qFormat/>
    <w:uiPriority w:val="0"/>
    <w:pPr>
      <w:autoSpaceDE w:val="0"/>
      <w:autoSpaceDN w:val="0"/>
      <w:adjustRightInd w:val="0"/>
      <w:spacing w:before="16"/>
      <w:jc w:val="left"/>
      <w:outlineLvl w:val="2"/>
    </w:pPr>
    <w:rPr>
      <w:rFonts w:ascii="仿宋_GB2312" w:eastAsia="仿宋_GB2312" w:cs="MingLiU"/>
      <w:b/>
      <w:kern w:val="0"/>
      <w:sz w:val="24"/>
      <w:szCs w:val="28"/>
    </w:rPr>
  </w:style>
  <w:style w:type="paragraph" w:styleId="6">
    <w:name w:val="heading 4"/>
    <w:basedOn w:val="1"/>
    <w:next w:val="1"/>
    <w:link w:val="74"/>
    <w:qFormat/>
    <w:uiPriority w:val="0"/>
    <w:pPr>
      <w:jc w:val="center"/>
      <w:outlineLvl w:val="3"/>
    </w:pPr>
    <w:rPr>
      <w:rFonts w:ascii="仿宋_GB2312" w:eastAsia="仿宋_GB2312" w:cs="MingLiU"/>
      <w:b/>
      <w:kern w:val="0"/>
      <w:sz w:val="24"/>
      <w:szCs w:val="28"/>
    </w:rPr>
  </w:style>
  <w:style w:type="paragraph" w:styleId="7">
    <w:name w:val="heading 5"/>
    <w:basedOn w:val="1"/>
    <w:next w:val="1"/>
    <w:link w:val="75"/>
    <w:qFormat/>
    <w:uiPriority w:val="0"/>
    <w:pPr>
      <w:keepNext/>
      <w:keepLines/>
      <w:spacing w:before="280" w:after="290" w:line="374" w:lineRule="auto"/>
      <w:outlineLvl w:val="4"/>
    </w:pPr>
    <w:rPr>
      <w:b/>
      <w:bCs/>
      <w:kern w:val="0"/>
      <w:sz w:val="28"/>
      <w:szCs w:val="28"/>
    </w:rPr>
  </w:style>
  <w:style w:type="paragraph" w:styleId="8">
    <w:name w:val="heading 6"/>
    <w:basedOn w:val="1"/>
    <w:next w:val="1"/>
    <w:link w:val="76"/>
    <w:qFormat/>
    <w:uiPriority w:val="0"/>
    <w:pPr>
      <w:keepNext/>
      <w:keepLines/>
      <w:spacing w:before="240" w:after="64" w:line="319" w:lineRule="auto"/>
      <w:outlineLvl w:val="5"/>
    </w:pPr>
    <w:rPr>
      <w:rFonts w:ascii="Arial" w:hAnsi="Arial" w:eastAsia="黑体"/>
      <w:b/>
      <w:bCs/>
      <w:kern w:val="0"/>
      <w:sz w:val="24"/>
    </w:rPr>
  </w:style>
  <w:style w:type="paragraph" w:styleId="9">
    <w:name w:val="heading 7"/>
    <w:basedOn w:val="1"/>
    <w:next w:val="1"/>
    <w:link w:val="77"/>
    <w:qFormat/>
    <w:uiPriority w:val="0"/>
    <w:pPr>
      <w:keepNext/>
      <w:keepLines/>
      <w:spacing w:before="240" w:after="64" w:line="319" w:lineRule="auto"/>
      <w:outlineLvl w:val="6"/>
    </w:pPr>
    <w:rPr>
      <w:b/>
      <w:bCs/>
      <w:kern w:val="0"/>
      <w:sz w:val="24"/>
    </w:rPr>
  </w:style>
  <w:style w:type="paragraph" w:styleId="10">
    <w:name w:val="heading 8"/>
    <w:basedOn w:val="1"/>
    <w:next w:val="1"/>
    <w:link w:val="78"/>
    <w:qFormat/>
    <w:uiPriority w:val="0"/>
    <w:pPr>
      <w:keepNext/>
      <w:keepLines/>
      <w:spacing w:before="240" w:after="64" w:line="319" w:lineRule="auto"/>
      <w:outlineLvl w:val="7"/>
    </w:pPr>
    <w:rPr>
      <w:rFonts w:ascii="Arial" w:hAnsi="Arial" w:eastAsia="黑体"/>
      <w:kern w:val="0"/>
      <w:sz w:val="24"/>
    </w:rPr>
  </w:style>
  <w:style w:type="paragraph" w:styleId="11">
    <w:name w:val="heading 9"/>
    <w:basedOn w:val="1"/>
    <w:next w:val="1"/>
    <w:link w:val="79"/>
    <w:qFormat/>
    <w:uiPriority w:val="0"/>
    <w:pPr>
      <w:keepNext/>
      <w:keepLines/>
      <w:spacing w:before="240" w:after="64" w:line="319" w:lineRule="auto"/>
      <w:outlineLvl w:val="8"/>
    </w:pPr>
    <w:rPr>
      <w:rFonts w:ascii="Arial" w:hAnsi="Arial" w:eastAsia="黑体"/>
      <w:kern w:val="0"/>
      <w:sz w:val="20"/>
      <w:szCs w:val="21"/>
    </w:rPr>
  </w:style>
  <w:style w:type="character" w:default="1" w:styleId="56">
    <w:name w:val="Default Paragraph Font"/>
    <w:semiHidden/>
    <w:qFormat/>
    <w:uiPriority w:val="0"/>
  </w:style>
  <w:style w:type="table" w:default="1" w:styleId="54">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12">
    <w:name w:val="toc 7"/>
    <w:basedOn w:val="1"/>
    <w:next w:val="1"/>
    <w:qFormat/>
    <w:uiPriority w:val="0"/>
    <w:pPr>
      <w:ind w:left="1260"/>
      <w:jc w:val="left"/>
    </w:pPr>
    <w:rPr>
      <w:rFonts w:ascii="Calibri" w:hAnsi="Calibri"/>
      <w:sz w:val="18"/>
      <w:szCs w:val="20"/>
    </w:rPr>
  </w:style>
  <w:style w:type="paragraph" w:styleId="13">
    <w:name w:val="table of authorities"/>
    <w:basedOn w:val="1"/>
    <w:next w:val="1"/>
    <w:semiHidden/>
    <w:qFormat/>
    <w:uiPriority w:val="0"/>
    <w:pPr>
      <w:ind w:left="420" w:leftChars="200"/>
    </w:pPr>
  </w:style>
  <w:style w:type="paragraph" w:styleId="14">
    <w:name w:val="List Bullet 4"/>
    <w:basedOn w:val="1"/>
    <w:qFormat/>
    <w:uiPriority w:val="0"/>
    <w:pPr>
      <w:tabs>
        <w:tab w:val="left" w:pos="1620"/>
      </w:tabs>
      <w:ind w:left="1620" w:leftChars="600" w:hanging="360" w:hangingChars="200"/>
    </w:pPr>
  </w:style>
  <w:style w:type="paragraph" w:styleId="15">
    <w:name w:val="caption"/>
    <w:basedOn w:val="1"/>
    <w:next w:val="1"/>
    <w:qFormat/>
    <w:uiPriority w:val="0"/>
    <w:rPr>
      <w:rFonts w:ascii="Cambria" w:hAnsi="Cambria" w:eastAsia="黑体"/>
      <w:sz w:val="20"/>
      <w:szCs w:val="20"/>
    </w:rPr>
  </w:style>
  <w:style w:type="paragraph" w:styleId="16">
    <w:name w:val="List Bullet"/>
    <w:basedOn w:val="1"/>
    <w:qFormat/>
    <w:uiPriority w:val="0"/>
    <w:pPr>
      <w:tabs>
        <w:tab w:val="left" w:pos="360"/>
      </w:tabs>
      <w:ind w:left="360" w:hanging="360" w:hangingChars="200"/>
    </w:pPr>
  </w:style>
  <w:style w:type="paragraph" w:styleId="17">
    <w:name w:val="Document Map"/>
    <w:basedOn w:val="1"/>
    <w:link w:val="80"/>
    <w:unhideWhenUsed/>
    <w:qFormat/>
    <w:uiPriority w:val="0"/>
    <w:rPr>
      <w:rFonts w:ascii="宋体"/>
      <w:sz w:val="18"/>
      <w:szCs w:val="18"/>
    </w:rPr>
  </w:style>
  <w:style w:type="paragraph" w:styleId="18">
    <w:name w:val="annotation text"/>
    <w:basedOn w:val="1"/>
    <w:link w:val="81"/>
    <w:qFormat/>
    <w:uiPriority w:val="0"/>
    <w:pPr>
      <w:adjustRightInd w:val="0"/>
      <w:spacing w:line="360" w:lineRule="atLeast"/>
      <w:jc w:val="left"/>
      <w:textAlignment w:val="baseline"/>
    </w:pPr>
    <w:rPr>
      <w:kern w:val="0"/>
      <w:sz w:val="24"/>
      <w:szCs w:val="20"/>
    </w:rPr>
  </w:style>
  <w:style w:type="paragraph" w:styleId="19">
    <w:name w:val="Body Text 3"/>
    <w:basedOn w:val="1"/>
    <w:link w:val="82"/>
    <w:qFormat/>
    <w:uiPriority w:val="0"/>
    <w:pPr>
      <w:spacing w:after="120"/>
    </w:pPr>
    <w:rPr>
      <w:sz w:val="16"/>
      <w:szCs w:val="16"/>
    </w:rPr>
  </w:style>
  <w:style w:type="paragraph" w:styleId="20">
    <w:name w:val="List Bullet 3"/>
    <w:basedOn w:val="1"/>
    <w:qFormat/>
    <w:uiPriority w:val="0"/>
    <w:pPr>
      <w:tabs>
        <w:tab w:val="left" w:pos="1200"/>
      </w:tabs>
      <w:ind w:left="1200" w:leftChars="400" w:hanging="360" w:hangingChars="200"/>
    </w:pPr>
  </w:style>
  <w:style w:type="paragraph" w:styleId="21">
    <w:name w:val="Body Text"/>
    <w:basedOn w:val="1"/>
    <w:next w:val="1"/>
    <w:link w:val="70"/>
    <w:qFormat/>
    <w:uiPriority w:val="0"/>
    <w:rPr>
      <w:sz w:val="26"/>
    </w:rPr>
  </w:style>
  <w:style w:type="paragraph" w:styleId="22">
    <w:name w:val="Body Text Indent"/>
    <w:basedOn w:val="1"/>
    <w:link w:val="83"/>
    <w:qFormat/>
    <w:uiPriority w:val="0"/>
    <w:pPr>
      <w:spacing w:line="360" w:lineRule="auto"/>
      <w:ind w:firstLine="560" w:firstLineChars="200"/>
    </w:pPr>
    <w:rPr>
      <w:rFonts w:ascii="黑体" w:hAnsi="宋体" w:eastAsia="黑体"/>
      <w:color w:val="000000"/>
      <w:kern w:val="0"/>
      <w:sz w:val="28"/>
      <w:szCs w:val="20"/>
    </w:rPr>
  </w:style>
  <w:style w:type="paragraph" w:styleId="23">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szCs w:val="20"/>
    </w:rPr>
  </w:style>
  <w:style w:type="paragraph" w:styleId="24">
    <w:name w:val="List Bullet 2"/>
    <w:basedOn w:val="1"/>
    <w:qFormat/>
    <w:uiPriority w:val="0"/>
    <w:pPr>
      <w:tabs>
        <w:tab w:val="left" w:pos="780"/>
      </w:tabs>
      <w:ind w:left="780" w:leftChars="200" w:hanging="360" w:hangingChars="200"/>
    </w:pPr>
  </w:style>
  <w:style w:type="paragraph" w:styleId="25">
    <w:name w:val="index 4"/>
    <w:basedOn w:val="1"/>
    <w:next w:val="1"/>
    <w:qFormat/>
    <w:uiPriority w:val="0"/>
    <w:pPr>
      <w:ind w:left="600" w:leftChars="600"/>
    </w:pPr>
  </w:style>
  <w:style w:type="paragraph" w:styleId="26">
    <w:name w:val="toc 5"/>
    <w:basedOn w:val="1"/>
    <w:next w:val="1"/>
    <w:qFormat/>
    <w:uiPriority w:val="0"/>
    <w:pPr>
      <w:ind w:left="840"/>
      <w:jc w:val="left"/>
    </w:pPr>
    <w:rPr>
      <w:rFonts w:ascii="Calibri" w:hAnsi="Calibri"/>
      <w:sz w:val="18"/>
      <w:szCs w:val="20"/>
    </w:rPr>
  </w:style>
  <w:style w:type="paragraph" w:styleId="27">
    <w:name w:val="toc 3"/>
    <w:basedOn w:val="1"/>
    <w:next w:val="1"/>
    <w:qFormat/>
    <w:uiPriority w:val="0"/>
    <w:pPr>
      <w:ind w:left="420"/>
      <w:jc w:val="left"/>
    </w:pPr>
    <w:rPr>
      <w:rFonts w:ascii="Calibri" w:hAnsi="Calibri" w:eastAsia="仿宋_GB2312"/>
      <w:iCs/>
      <w:szCs w:val="20"/>
    </w:rPr>
  </w:style>
  <w:style w:type="paragraph" w:styleId="28">
    <w:name w:val="Plain Text"/>
    <w:basedOn w:val="1"/>
    <w:link w:val="84"/>
    <w:qFormat/>
    <w:uiPriority w:val="0"/>
    <w:rPr>
      <w:rFonts w:ascii="宋体" w:hAnsi="Courier New"/>
      <w:sz w:val="28"/>
      <w:szCs w:val="28"/>
    </w:rPr>
  </w:style>
  <w:style w:type="paragraph" w:styleId="29">
    <w:name w:val="List Bullet 5"/>
    <w:basedOn w:val="1"/>
    <w:qFormat/>
    <w:uiPriority w:val="0"/>
    <w:pPr>
      <w:tabs>
        <w:tab w:val="left" w:pos="2040"/>
      </w:tabs>
      <w:ind w:left="2040" w:leftChars="800" w:hanging="360" w:hangingChars="200"/>
    </w:pPr>
  </w:style>
  <w:style w:type="paragraph" w:styleId="30">
    <w:name w:val="toc 8"/>
    <w:basedOn w:val="1"/>
    <w:next w:val="1"/>
    <w:qFormat/>
    <w:uiPriority w:val="0"/>
    <w:pPr>
      <w:ind w:left="1470"/>
      <w:jc w:val="left"/>
    </w:pPr>
    <w:rPr>
      <w:rFonts w:ascii="Calibri" w:hAnsi="Calibri"/>
      <w:sz w:val="18"/>
      <w:szCs w:val="20"/>
    </w:rPr>
  </w:style>
  <w:style w:type="paragraph" w:styleId="31">
    <w:name w:val="Date"/>
    <w:basedOn w:val="1"/>
    <w:next w:val="1"/>
    <w:link w:val="85"/>
    <w:qFormat/>
    <w:uiPriority w:val="0"/>
    <w:pPr>
      <w:ind w:left="100" w:leftChars="2500"/>
    </w:pPr>
  </w:style>
  <w:style w:type="paragraph" w:styleId="32">
    <w:name w:val="Body Text Indent 2"/>
    <w:basedOn w:val="1"/>
    <w:link w:val="86"/>
    <w:qFormat/>
    <w:uiPriority w:val="0"/>
    <w:pPr>
      <w:ind w:left="1005" w:hanging="1005"/>
    </w:pPr>
    <w:rPr>
      <w:rFonts w:eastAsia="仿宋_GB2312"/>
      <w:sz w:val="32"/>
      <w:szCs w:val="20"/>
    </w:rPr>
  </w:style>
  <w:style w:type="paragraph" w:styleId="33">
    <w:name w:val="endnote text"/>
    <w:basedOn w:val="1"/>
    <w:link w:val="87"/>
    <w:qFormat/>
    <w:uiPriority w:val="0"/>
    <w:pPr>
      <w:widowControl/>
      <w:snapToGrid w:val="0"/>
      <w:jc w:val="left"/>
    </w:pPr>
    <w:rPr>
      <w:rFonts w:ascii="Arial" w:hAnsi="Arial"/>
      <w:kern w:val="0"/>
      <w:sz w:val="20"/>
      <w:lang w:eastAsia="en-US"/>
    </w:rPr>
  </w:style>
  <w:style w:type="paragraph" w:styleId="34">
    <w:name w:val="Balloon Text"/>
    <w:basedOn w:val="1"/>
    <w:link w:val="88"/>
    <w:qFormat/>
    <w:uiPriority w:val="0"/>
    <w:rPr>
      <w:sz w:val="18"/>
      <w:szCs w:val="18"/>
    </w:rPr>
  </w:style>
  <w:style w:type="paragraph" w:styleId="35">
    <w:name w:val="footer"/>
    <w:basedOn w:val="1"/>
    <w:link w:val="89"/>
    <w:qFormat/>
    <w:uiPriority w:val="99"/>
    <w:pPr>
      <w:tabs>
        <w:tab w:val="center" w:pos="4153"/>
        <w:tab w:val="right" w:pos="8306"/>
      </w:tabs>
      <w:snapToGrid w:val="0"/>
      <w:jc w:val="left"/>
    </w:pPr>
    <w:rPr>
      <w:sz w:val="18"/>
      <w:szCs w:val="18"/>
    </w:rPr>
  </w:style>
  <w:style w:type="paragraph" w:styleId="36">
    <w:name w:val="header"/>
    <w:basedOn w:val="1"/>
    <w:link w:val="90"/>
    <w:qFormat/>
    <w:uiPriority w:val="0"/>
    <w:pPr>
      <w:pBdr>
        <w:bottom w:val="single" w:color="auto" w:sz="6" w:space="1"/>
      </w:pBdr>
      <w:tabs>
        <w:tab w:val="center" w:pos="4153"/>
        <w:tab w:val="right" w:pos="8306"/>
      </w:tabs>
      <w:snapToGrid w:val="0"/>
      <w:jc w:val="center"/>
    </w:pPr>
    <w:rPr>
      <w:sz w:val="18"/>
      <w:szCs w:val="18"/>
    </w:rPr>
  </w:style>
  <w:style w:type="paragraph" w:styleId="37">
    <w:name w:val="toc 1"/>
    <w:basedOn w:val="1"/>
    <w:next w:val="1"/>
    <w:qFormat/>
    <w:uiPriority w:val="0"/>
    <w:pPr>
      <w:spacing w:before="120" w:after="120"/>
      <w:jc w:val="left"/>
    </w:pPr>
    <w:rPr>
      <w:rFonts w:ascii="Calibri" w:hAnsi="Calibri" w:eastAsia="仿宋_GB2312"/>
      <w:b/>
      <w:bCs/>
      <w:caps/>
      <w:sz w:val="28"/>
      <w:szCs w:val="20"/>
    </w:rPr>
  </w:style>
  <w:style w:type="paragraph" w:styleId="38">
    <w:name w:val="toc 4"/>
    <w:basedOn w:val="1"/>
    <w:next w:val="1"/>
    <w:qFormat/>
    <w:uiPriority w:val="0"/>
    <w:pPr>
      <w:ind w:left="630"/>
      <w:jc w:val="left"/>
    </w:pPr>
    <w:rPr>
      <w:rFonts w:ascii="Calibri" w:hAnsi="Calibri"/>
      <w:sz w:val="18"/>
      <w:szCs w:val="20"/>
    </w:rPr>
  </w:style>
  <w:style w:type="paragraph" w:styleId="39">
    <w:name w:val="Subtitle"/>
    <w:basedOn w:val="1"/>
    <w:link w:val="91"/>
    <w:qFormat/>
    <w:uiPriority w:val="0"/>
    <w:pPr>
      <w:widowControl/>
      <w:jc w:val="center"/>
    </w:pPr>
    <w:rPr>
      <w:kern w:val="0"/>
      <w:sz w:val="20"/>
      <w:u w:val="single"/>
      <w:lang w:eastAsia="en-US"/>
    </w:rPr>
  </w:style>
  <w:style w:type="paragraph" w:styleId="40">
    <w:name w:val="footnote text"/>
    <w:basedOn w:val="1"/>
    <w:link w:val="92"/>
    <w:qFormat/>
    <w:uiPriority w:val="0"/>
    <w:pPr>
      <w:snapToGrid w:val="0"/>
      <w:jc w:val="left"/>
    </w:pPr>
    <w:rPr>
      <w:sz w:val="18"/>
      <w:szCs w:val="18"/>
    </w:rPr>
  </w:style>
  <w:style w:type="paragraph" w:styleId="41">
    <w:name w:val="toc 6"/>
    <w:basedOn w:val="1"/>
    <w:next w:val="1"/>
    <w:qFormat/>
    <w:uiPriority w:val="0"/>
    <w:pPr>
      <w:ind w:left="1050"/>
      <w:jc w:val="left"/>
    </w:pPr>
    <w:rPr>
      <w:rFonts w:ascii="Calibri" w:hAnsi="Calibri"/>
      <w:sz w:val="18"/>
      <w:szCs w:val="20"/>
    </w:rPr>
  </w:style>
  <w:style w:type="paragraph" w:styleId="42">
    <w:name w:val="Body Text Indent 3"/>
    <w:basedOn w:val="1"/>
    <w:link w:val="93"/>
    <w:qFormat/>
    <w:uiPriority w:val="0"/>
    <w:pPr>
      <w:spacing w:after="120"/>
      <w:ind w:left="420" w:leftChars="200"/>
    </w:pPr>
    <w:rPr>
      <w:kern w:val="0"/>
      <w:sz w:val="16"/>
      <w:szCs w:val="20"/>
    </w:rPr>
  </w:style>
  <w:style w:type="paragraph" w:styleId="43">
    <w:name w:val="toc 2"/>
    <w:basedOn w:val="1"/>
    <w:next w:val="1"/>
    <w:qFormat/>
    <w:uiPriority w:val="0"/>
    <w:pPr>
      <w:tabs>
        <w:tab w:val="right" w:leader="dot" w:pos="8609"/>
      </w:tabs>
      <w:spacing w:line="240" w:lineRule="atLeast"/>
      <w:ind w:left="210"/>
      <w:jc w:val="distribute"/>
    </w:pPr>
    <w:rPr>
      <w:rFonts w:ascii="宋体" w:hAnsi="宋体" w:eastAsia="宋体"/>
      <w:b/>
      <w:smallCaps/>
      <w:szCs w:val="21"/>
    </w:rPr>
  </w:style>
  <w:style w:type="paragraph" w:styleId="44">
    <w:name w:val="toc 9"/>
    <w:basedOn w:val="1"/>
    <w:next w:val="1"/>
    <w:qFormat/>
    <w:uiPriority w:val="0"/>
    <w:pPr>
      <w:ind w:left="1680"/>
      <w:jc w:val="left"/>
    </w:pPr>
    <w:rPr>
      <w:rFonts w:ascii="Calibri" w:hAnsi="Calibri"/>
      <w:sz w:val="18"/>
      <w:szCs w:val="20"/>
    </w:rPr>
  </w:style>
  <w:style w:type="paragraph" w:styleId="45">
    <w:name w:val="Body Text 2"/>
    <w:basedOn w:val="1"/>
    <w:link w:val="94"/>
    <w:qFormat/>
    <w:uiPriority w:val="0"/>
    <w:rPr>
      <w:i/>
      <w:iCs/>
      <w:sz w:val="26"/>
    </w:rPr>
  </w:style>
  <w:style w:type="paragraph" w:styleId="46">
    <w:name w:val="List Continue 2"/>
    <w:basedOn w:val="1"/>
    <w:qFormat/>
    <w:uiPriority w:val="0"/>
    <w:pPr>
      <w:spacing w:after="120"/>
      <w:ind w:left="840" w:leftChars="400"/>
    </w:pPr>
    <w:rPr>
      <w:szCs w:val="20"/>
    </w:rPr>
  </w:style>
  <w:style w:type="paragraph" w:styleId="47">
    <w:name w:val="HTML Preformatted"/>
    <w:basedOn w:val="1"/>
    <w:link w:val="9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8">
    <w:name w:val="Normal (Web)"/>
    <w:basedOn w:val="1"/>
    <w:qFormat/>
    <w:uiPriority w:val="0"/>
    <w:pPr>
      <w:widowControl/>
      <w:spacing w:before="100" w:beforeAutospacing="1" w:after="100" w:afterAutospacing="1"/>
      <w:jc w:val="left"/>
    </w:pPr>
    <w:rPr>
      <w:rFonts w:ascii="_x000B__x000C_" w:hAnsi="_x000B__x000C_"/>
      <w:kern w:val="0"/>
      <w:sz w:val="24"/>
      <w:szCs w:val="20"/>
    </w:rPr>
  </w:style>
  <w:style w:type="paragraph" w:styleId="49">
    <w:name w:val="index 1"/>
    <w:basedOn w:val="1"/>
    <w:next w:val="1"/>
    <w:qFormat/>
    <w:uiPriority w:val="0"/>
    <w:pPr>
      <w:spacing w:line="220" w:lineRule="exact"/>
      <w:jc w:val="center"/>
    </w:pPr>
    <w:rPr>
      <w:rFonts w:ascii="仿宋_GB2312" w:eastAsia="仿宋_GB2312"/>
      <w:szCs w:val="21"/>
    </w:rPr>
  </w:style>
  <w:style w:type="paragraph" w:styleId="50">
    <w:name w:val="Title"/>
    <w:basedOn w:val="1"/>
    <w:next w:val="1"/>
    <w:link w:val="96"/>
    <w:qFormat/>
    <w:uiPriority w:val="0"/>
    <w:pPr>
      <w:spacing w:before="240" w:after="60"/>
      <w:jc w:val="center"/>
      <w:outlineLvl w:val="0"/>
    </w:pPr>
    <w:rPr>
      <w:rFonts w:ascii="Arial" w:hAnsi="Arial"/>
      <w:b/>
      <w:bCs/>
      <w:sz w:val="32"/>
      <w:szCs w:val="32"/>
    </w:rPr>
  </w:style>
  <w:style w:type="paragraph" w:styleId="51">
    <w:name w:val="annotation subject"/>
    <w:basedOn w:val="18"/>
    <w:next w:val="18"/>
    <w:link w:val="97"/>
    <w:qFormat/>
    <w:uiPriority w:val="0"/>
    <w:pPr>
      <w:adjustRightInd/>
      <w:spacing w:line="240" w:lineRule="auto"/>
      <w:textAlignment w:val="auto"/>
    </w:pPr>
    <w:rPr>
      <w:b/>
      <w:bCs/>
      <w:kern w:val="2"/>
      <w:sz w:val="21"/>
      <w:szCs w:val="24"/>
    </w:rPr>
  </w:style>
  <w:style w:type="paragraph" w:styleId="52">
    <w:name w:val="Body Text First Indent"/>
    <w:basedOn w:val="21"/>
    <w:link w:val="98"/>
    <w:qFormat/>
    <w:uiPriority w:val="0"/>
    <w:pPr>
      <w:ind w:firstLine="420" w:firstLineChars="100"/>
    </w:pPr>
  </w:style>
  <w:style w:type="paragraph" w:styleId="53">
    <w:name w:val="Body Text First Indent 2"/>
    <w:basedOn w:val="22"/>
    <w:link w:val="99"/>
    <w:qFormat/>
    <w:uiPriority w:val="0"/>
    <w:pPr>
      <w:spacing w:after="120" w:line="240" w:lineRule="auto"/>
      <w:ind w:left="420" w:leftChars="200" w:firstLine="420"/>
    </w:pPr>
    <w:rPr>
      <w:sz w:val="20"/>
      <w:szCs w:val="24"/>
    </w:rPr>
  </w:style>
  <w:style w:type="table" w:styleId="55">
    <w:name w:val="Table Grid"/>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7">
    <w:name w:val="Strong"/>
    <w:qFormat/>
    <w:uiPriority w:val="0"/>
    <w:rPr>
      <w:b/>
    </w:rPr>
  </w:style>
  <w:style w:type="character" w:styleId="58">
    <w:name w:val="endnote reference"/>
    <w:qFormat/>
    <w:uiPriority w:val="0"/>
    <w:rPr>
      <w:rFonts w:ascii="Calibri" w:hAnsi="Calibri" w:eastAsia="宋体" w:cs="Times New Roman"/>
      <w:vertAlign w:val="superscript"/>
    </w:rPr>
  </w:style>
  <w:style w:type="character" w:styleId="59">
    <w:name w:val="page number"/>
    <w:qFormat/>
    <w:uiPriority w:val="0"/>
  </w:style>
  <w:style w:type="character" w:styleId="60">
    <w:name w:val="FollowedHyperlink"/>
    <w:qFormat/>
    <w:uiPriority w:val="0"/>
    <w:rPr>
      <w:rFonts w:ascii="Times New Roman" w:hAnsi="Times New Roman" w:eastAsia="宋体" w:cs="Times New Roman"/>
      <w:color w:val="800080"/>
      <w:u w:val="single"/>
    </w:rPr>
  </w:style>
  <w:style w:type="character" w:styleId="61">
    <w:name w:val="Emphasis"/>
    <w:qFormat/>
    <w:uiPriority w:val="0"/>
    <w:rPr>
      <w:rFonts w:ascii="Times New Roman" w:hAnsi="Times New Roman" w:eastAsia="宋体" w:cs="Times New Roman"/>
      <w:i/>
      <w:iCs/>
    </w:rPr>
  </w:style>
  <w:style w:type="character" w:styleId="62">
    <w:name w:val="Hyperlink"/>
    <w:qFormat/>
    <w:uiPriority w:val="0"/>
    <w:rPr>
      <w:color w:val="0000FF"/>
      <w:u w:val="single"/>
    </w:rPr>
  </w:style>
  <w:style w:type="character" w:styleId="63">
    <w:name w:val="annotation reference"/>
    <w:qFormat/>
    <w:uiPriority w:val="0"/>
    <w:rPr>
      <w:sz w:val="21"/>
      <w:szCs w:val="21"/>
    </w:rPr>
  </w:style>
  <w:style w:type="character" w:styleId="64">
    <w:name w:val="HTML Cite"/>
    <w:qFormat/>
    <w:uiPriority w:val="0"/>
    <w:rPr>
      <w:rFonts w:ascii="Times New Roman" w:hAnsi="Times New Roman" w:eastAsia="宋体" w:cs="Times New Roman"/>
      <w:color w:val="008000"/>
    </w:rPr>
  </w:style>
  <w:style w:type="character" w:styleId="65">
    <w:name w:val="footnote reference"/>
    <w:qFormat/>
    <w:uiPriority w:val="0"/>
    <w:rPr>
      <w:rFonts w:ascii="Times New Roman" w:hAnsi="Times New Roman" w:eastAsia="宋体" w:cs="Times New Roman"/>
      <w:vertAlign w:val="superscript"/>
    </w:rPr>
  </w:style>
  <w:style w:type="paragraph" w:customStyle="1" w:styleId="66">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7">
    <w:name w:val="_Style 6"/>
    <w:next w:val="1"/>
    <w:qFormat/>
    <w:uiPriority w:val="0"/>
    <w:pPr>
      <w:wordWrap w:val="0"/>
      <w:spacing w:before="200" w:after="160"/>
      <w:ind w:left="864" w:right="864"/>
      <w:jc w:val="center"/>
    </w:pPr>
    <w:rPr>
      <w:rFonts w:ascii="Times New Roman" w:hAnsi="Times New Roman" w:eastAsia="宋体" w:cs="Times New Roman"/>
      <w:i/>
      <w:sz w:val="21"/>
      <w:szCs w:val="22"/>
      <w:lang w:val="en-US" w:eastAsia="zh-CN" w:bidi="ar-SA"/>
    </w:rPr>
  </w:style>
  <w:style w:type="paragraph" w:customStyle="1" w:styleId="68">
    <w:name w:val="附件标题-1"/>
    <w:basedOn w:val="1"/>
    <w:next w:val="1"/>
    <w:qFormat/>
    <w:uiPriority w:val="0"/>
    <w:pPr>
      <w:spacing w:beforeLines="50"/>
      <w:jc w:val="center"/>
    </w:pPr>
    <w:rPr>
      <w:rFonts w:eastAsia="黑体"/>
      <w:sz w:val="32"/>
    </w:rPr>
  </w:style>
  <w:style w:type="paragraph" w:customStyle="1" w:styleId="69">
    <w:name w:val="目录 53"/>
    <w:next w:val="1"/>
    <w:qFormat/>
    <w:uiPriority w:val="99"/>
    <w:pPr>
      <w:wordWrap w:val="0"/>
      <w:ind w:left="1275"/>
      <w:jc w:val="both"/>
    </w:pPr>
    <w:rPr>
      <w:rFonts w:ascii="Calibri" w:hAnsi="Calibri" w:eastAsia="宋体" w:cs="Times New Roman"/>
      <w:sz w:val="21"/>
      <w:szCs w:val="22"/>
      <w:lang w:val="en-US" w:eastAsia="zh-CN" w:bidi="ar-SA"/>
    </w:rPr>
  </w:style>
  <w:style w:type="character" w:customStyle="1" w:styleId="70">
    <w:name w:val="正文文本 字符"/>
    <w:link w:val="21"/>
    <w:qFormat/>
    <w:uiPriority w:val="99"/>
    <w:rPr>
      <w:rFonts w:eastAsia="宋体"/>
      <w:kern w:val="2"/>
      <w:sz w:val="26"/>
      <w:szCs w:val="24"/>
      <w:lang w:val="en-US" w:eastAsia="zh-CN" w:bidi="ar-SA"/>
    </w:rPr>
  </w:style>
  <w:style w:type="character" w:customStyle="1" w:styleId="71">
    <w:name w:val="标题 1 字符"/>
    <w:link w:val="3"/>
    <w:qFormat/>
    <w:uiPriority w:val="9"/>
    <w:rPr>
      <w:rFonts w:eastAsia="黑体"/>
      <w:kern w:val="2"/>
      <w:sz w:val="44"/>
      <w:szCs w:val="44"/>
      <w:lang w:val="en-US" w:eastAsia="zh-CN" w:bidi="ar-SA"/>
    </w:rPr>
  </w:style>
  <w:style w:type="character" w:customStyle="1" w:styleId="72">
    <w:name w:val="标题 2 字符"/>
    <w:link w:val="4"/>
    <w:qFormat/>
    <w:uiPriority w:val="9"/>
    <w:rPr>
      <w:rFonts w:ascii="仿宋_GB2312" w:eastAsia="仿宋_GB2312" w:cs="MingLiU"/>
      <w:b/>
      <w:spacing w:val="1"/>
      <w:w w:val="99"/>
      <w:sz w:val="28"/>
      <w:szCs w:val="32"/>
      <w:lang w:val="en-US" w:eastAsia="zh-CN" w:bidi="ar-SA"/>
    </w:rPr>
  </w:style>
  <w:style w:type="character" w:customStyle="1" w:styleId="73">
    <w:name w:val="标题 3 字符"/>
    <w:link w:val="5"/>
    <w:qFormat/>
    <w:uiPriority w:val="0"/>
    <w:rPr>
      <w:rFonts w:ascii="仿宋_GB2312" w:eastAsia="仿宋_GB2312" w:cs="MingLiU"/>
      <w:b/>
      <w:sz w:val="24"/>
      <w:szCs w:val="28"/>
      <w:lang w:val="en-US" w:eastAsia="zh-CN" w:bidi="ar-SA"/>
    </w:rPr>
  </w:style>
  <w:style w:type="character" w:customStyle="1" w:styleId="74">
    <w:name w:val="标题 4 字符"/>
    <w:link w:val="6"/>
    <w:qFormat/>
    <w:uiPriority w:val="9"/>
    <w:rPr>
      <w:rFonts w:ascii="仿宋_GB2312" w:eastAsia="仿宋_GB2312" w:cs="MingLiU"/>
      <w:b/>
      <w:sz w:val="24"/>
      <w:szCs w:val="28"/>
      <w:lang w:val="en-US" w:eastAsia="zh-CN" w:bidi="ar-SA"/>
    </w:rPr>
  </w:style>
  <w:style w:type="character" w:customStyle="1" w:styleId="75">
    <w:name w:val="标题 5 Char"/>
    <w:link w:val="7"/>
    <w:qFormat/>
    <w:uiPriority w:val="0"/>
    <w:rPr>
      <w:b/>
      <w:bCs/>
      <w:sz w:val="28"/>
      <w:szCs w:val="28"/>
    </w:rPr>
  </w:style>
  <w:style w:type="character" w:customStyle="1" w:styleId="76">
    <w:name w:val="标题 6 Char"/>
    <w:link w:val="8"/>
    <w:qFormat/>
    <w:uiPriority w:val="0"/>
    <w:rPr>
      <w:rFonts w:ascii="Arial" w:hAnsi="Arial" w:eastAsia="黑体"/>
      <w:b/>
      <w:bCs/>
      <w:sz w:val="24"/>
      <w:szCs w:val="24"/>
    </w:rPr>
  </w:style>
  <w:style w:type="character" w:customStyle="1" w:styleId="77">
    <w:name w:val="标题 7 Char"/>
    <w:link w:val="9"/>
    <w:qFormat/>
    <w:uiPriority w:val="0"/>
    <w:rPr>
      <w:b/>
      <w:bCs/>
      <w:sz w:val="24"/>
      <w:szCs w:val="24"/>
    </w:rPr>
  </w:style>
  <w:style w:type="character" w:customStyle="1" w:styleId="78">
    <w:name w:val="标题 8 Char"/>
    <w:link w:val="10"/>
    <w:qFormat/>
    <w:uiPriority w:val="0"/>
    <w:rPr>
      <w:rFonts w:ascii="Arial" w:hAnsi="Arial" w:eastAsia="黑体"/>
      <w:sz w:val="24"/>
      <w:szCs w:val="24"/>
    </w:rPr>
  </w:style>
  <w:style w:type="character" w:customStyle="1" w:styleId="79">
    <w:name w:val="标题 9 Char"/>
    <w:link w:val="11"/>
    <w:qFormat/>
    <w:uiPriority w:val="0"/>
    <w:rPr>
      <w:rFonts w:ascii="Arial" w:hAnsi="Arial" w:eastAsia="黑体"/>
      <w:szCs w:val="21"/>
    </w:rPr>
  </w:style>
  <w:style w:type="character" w:customStyle="1" w:styleId="80">
    <w:name w:val="文档结构图 字符"/>
    <w:link w:val="17"/>
    <w:semiHidden/>
    <w:qFormat/>
    <w:uiPriority w:val="99"/>
    <w:rPr>
      <w:rFonts w:ascii="宋体"/>
      <w:kern w:val="2"/>
      <w:sz w:val="18"/>
      <w:szCs w:val="18"/>
    </w:rPr>
  </w:style>
  <w:style w:type="character" w:customStyle="1" w:styleId="81">
    <w:name w:val="批注文字 字符"/>
    <w:link w:val="18"/>
    <w:semiHidden/>
    <w:qFormat/>
    <w:uiPriority w:val="99"/>
    <w:rPr>
      <w:rFonts w:eastAsia="宋体"/>
      <w:sz w:val="24"/>
      <w:lang w:val="en-US" w:eastAsia="zh-CN" w:bidi="ar-SA"/>
    </w:rPr>
  </w:style>
  <w:style w:type="character" w:customStyle="1" w:styleId="82">
    <w:name w:val="正文文本 3 Char"/>
    <w:link w:val="19"/>
    <w:qFormat/>
    <w:uiPriority w:val="0"/>
    <w:rPr>
      <w:kern w:val="2"/>
      <w:sz w:val="16"/>
      <w:szCs w:val="16"/>
    </w:rPr>
  </w:style>
  <w:style w:type="character" w:customStyle="1" w:styleId="83">
    <w:name w:val="正文文本缩进 Char"/>
    <w:link w:val="22"/>
    <w:qFormat/>
    <w:uiPriority w:val="0"/>
    <w:rPr>
      <w:rFonts w:ascii="黑体" w:hAnsi="宋体" w:eastAsia="黑体"/>
      <w:color w:val="000000"/>
      <w:sz w:val="28"/>
    </w:rPr>
  </w:style>
  <w:style w:type="character" w:customStyle="1" w:styleId="84">
    <w:name w:val="纯文本 字符"/>
    <w:link w:val="28"/>
    <w:qFormat/>
    <w:uiPriority w:val="99"/>
    <w:rPr>
      <w:rFonts w:ascii="宋体" w:hAnsi="Courier New" w:eastAsia="宋体"/>
      <w:kern w:val="2"/>
      <w:sz w:val="28"/>
      <w:szCs w:val="28"/>
      <w:lang w:val="en-US" w:eastAsia="zh-CN" w:bidi="ar-SA"/>
    </w:rPr>
  </w:style>
  <w:style w:type="character" w:customStyle="1" w:styleId="85">
    <w:name w:val="日期 字符"/>
    <w:link w:val="31"/>
    <w:qFormat/>
    <w:uiPriority w:val="99"/>
    <w:rPr>
      <w:kern w:val="2"/>
      <w:sz w:val="21"/>
      <w:szCs w:val="24"/>
    </w:rPr>
  </w:style>
  <w:style w:type="character" w:customStyle="1" w:styleId="86">
    <w:name w:val="正文文本缩进 2 Char"/>
    <w:link w:val="32"/>
    <w:qFormat/>
    <w:uiPriority w:val="0"/>
    <w:rPr>
      <w:rFonts w:eastAsia="仿宋_GB2312"/>
      <w:kern w:val="2"/>
      <w:sz w:val="32"/>
    </w:rPr>
  </w:style>
  <w:style w:type="character" w:customStyle="1" w:styleId="87">
    <w:name w:val="尾注文本 Char1"/>
    <w:link w:val="33"/>
    <w:qFormat/>
    <w:uiPriority w:val="0"/>
    <w:rPr>
      <w:rFonts w:ascii="Arial" w:hAnsi="Arial"/>
      <w:szCs w:val="24"/>
      <w:lang w:eastAsia="en-US"/>
    </w:rPr>
  </w:style>
  <w:style w:type="character" w:customStyle="1" w:styleId="88">
    <w:name w:val="批注框文本 字符"/>
    <w:link w:val="34"/>
    <w:qFormat/>
    <w:uiPriority w:val="99"/>
    <w:rPr>
      <w:rFonts w:eastAsia="宋体"/>
      <w:kern w:val="2"/>
      <w:sz w:val="18"/>
      <w:szCs w:val="18"/>
      <w:lang w:val="en-US" w:eastAsia="zh-CN" w:bidi="ar-SA"/>
    </w:rPr>
  </w:style>
  <w:style w:type="character" w:customStyle="1" w:styleId="89">
    <w:name w:val="页脚 字符"/>
    <w:link w:val="35"/>
    <w:qFormat/>
    <w:uiPriority w:val="99"/>
    <w:rPr>
      <w:rFonts w:eastAsia="宋体"/>
      <w:kern w:val="2"/>
      <w:sz w:val="18"/>
      <w:szCs w:val="18"/>
      <w:lang w:val="en-US" w:eastAsia="zh-CN" w:bidi="ar-SA"/>
    </w:rPr>
  </w:style>
  <w:style w:type="character" w:customStyle="1" w:styleId="90">
    <w:name w:val="页眉 字符"/>
    <w:link w:val="36"/>
    <w:qFormat/>
    <w:uiPriority w:val="99"/>
    <w:rPr>
      <w:rFonts w:eastAsia="宋体"/>
      <w:kern w:val="2"/>
      <w:sz w:val="18"/>
      <w:szCs w:val="18"/>
      <w:lang w:val="en-US" w:eastAsia="zh-CN" w:bidi="ar-SA"/>
    </w:rPr>
  </w:style>
  <w:style w:type="character" w:customStyle="1" w:styleId="91">
    <w:name w:val="副标题 Char"/>
    <w:link w:val="39"/>
    <w:qFormat/>
    <w:uiPriority w:val="0"/>
    <w:rPr>
      <w:szCs w:val="24"/>
      <w:u w:val="single"/>
      <w:lang w:eastAsia="en-US"/>
    </w:rPr>
  </w:style>
  <w:style w:type="character" w:customStyle="1" w:styleId="92">
    <w:name w:val="脚注文本 字符"/>
    <w:link w:val="40"/>
    <w:qFormat/>
    <w:uiPriority w:val="99"/>
    <w:rPr>
      <w:rFonts w:eastAsia="宋体"/>
      <w:kern w:val="2"/>
      <w:sz w:val="18"/>
      <w:szCs w:val="18"/>
      <w:lang w:val="en-US" w:eastAsia="zh-CN" w:bidi="ar-SA"/>
    </w:rPr>
  </w:style>
  <w:style w:type="character" w:customStyle="1" w:styleId="93">
    <w:name w:val="正文文本缩进 3 Char"/>
    <w:link w:val="42"/>
    <w:qFormat/>
    <w:uiPriority w:val="0"/>
    <w:rPr>
      <w:sz w:val="16"/>
    </w:rPr>
  </w:style>
  <w:style w:type="character" w:customStyle="1" w:styleId="94">
    <w:name w:val="正文文本 2 字符"/>
    <w:link w:val="45"/>
    <w:qFormat/>
    <w:uiPriority w:val="99"/>
    <w:rPr>
      <w:rFonts w:eastAsia="宋体"/>
      <w:i/>
      <w:iCs/>
      <w:kern w:val="2"/>
      <w:sz w:val="26"/>
      <w:szCs w:val="24"/>
      <w:lang w:val="en-US" w:eastAsia="zh-CN" w:bidi="ar-SA"/>
    </w:rPr>
  </w:style>
  <w:style w:type="character" w:customStyle="1" w:styleId="95">
    <w:name w:val="HTML 预设格式 Char"/>
    <w:link w:val="47"/>
    <w:qFormat/>
    <w:uiPriority w:val="0"/>
    <w:rPr>
      <w:rFonts w:ascii="Arial" w:hAnsi="Arial" w:cs="Arial"/>
      <w:sz w:val="24"/>
      <w:szCs w:val="24"/>
    </w:rPr>
  </w:style>
  <w:style w:type="character" w:customStyle="1" w:styleId="96">
    <w:name w:val="标题 字符"/>
    <w:link w:val="50"/>
    <w:qFormat/>
    <w:uiPriority w:val="10"/>
    <w:rPr>
      <w:rFonts w:ascii="Arial" w:hAnsi="Arial" w:cs="Arial"/>
      <w:b/>
      <w:bCs/>
      <w:kern w:val="2"/>
      <w:sz w:val="32"/>
      <w:szCs w:val="32"/>
    </w:rPr>
  </w:style>
  <w:style w:type="character" w:customStyle="1" w:styleId="97">
    <w:name w:val="批注主题 字符"/>
    <w:link w:val="51"/>
    <w:qFormat/>
    <w:uiPriority w:val="99"/>
    <w:rPr>
      <w:rFonts w:eastAsia="宋体"/>
      <w:b/>
      <w:bCs/>
      <w:kern w:val="2"/>
      <w:sz w:val="21"/>
      <w:szCs w:val="24"/>
      <w:lang w:val="en-US" w:eastAsia="zh-CN" w:bidi="ar-SA"/>
    </w:rPr>
  </w:style>
  <w:style w:type="character" w:customStyle="1" w:styleId="98">
    <w:name w:val="正文文本首行缩进 字符"/>
    <w:link w:val="52"/>
    <w:qFormat/>
    <w:uiPriority w:val="0"/>
    <w:rPr>
      <w:kern w:val="2"/>
      <w:sz w:val="26"/>
      <w:szCs w:val="24"/>
    </w:rPr>
  </w:style>
  <w:style w:type="character" w:customStyle="1" w:styleId="99">
    <w:name w:val="正文首行缩进 2 Char"/>
    <w:link w:val="53"/>
    <w:qFormat/>
    <w:uiPriority w:val="0"/>
    <w:rPr>
      <w:rFonts w:ascii="黑体" w:hAnsi="宋体" w:eastAsia="黑体"/>
      <w:color w:val="000000"/>
      <w:szCs w:val="24"/>
    </w:rPr>
  </w:style>
  <w:style w:type="character" w:customStyle="1" w:styleId="100">
    <w:name w:val="NormalCharacter"/>
    <w:semiHidden/>
    <w:qFormat/>
    <w:uiPriority w:val="0"/>
    <w:rPr>
      <w:kern w:val="2"/>
      <w:sz w:val="21"/>
      <w:szCs w:val="24"/>
      <w:lang w:val="en-US" w:eastAsia="zh-CN" w:bidi="ar-SA"/>
    </w:rPr>
  </w:style>
  <w:style w:type="character" w:customStyle="1" w:styleId="101">
    <w:name w:val="Plain Text Char"/>
    <w:qFormat/>
    <w:locked/>
    <w:uiPriority w:val="0"/>
    <w:rPr>
      <w:rFonts w:ascii="宋体" w:hAnsi="Courier New" w:cs="Times New Roman"/>
      <w:kern w:val="2"/>
      <w:sz w:val="24"/>
      <w:szCs w:val="24"/>
    </w:rPr>
  </w:style>
  <w:style w:type="character" w:customStyle="1" w:styleId="102">
    <w:name w:val="页眉 Char"/>
    <w:qFormat/>
    <w:uiPriority w:val="0"/>
    <w:rPr>
      <w:kern w:val="2"/>
      <w:sz w:val="18"/>
      <w:szCs w:val="18"/>
    </w:rPr>
  </w:style>
  <w:style w:type="character" w:customStyle="1" w:styleId="103">
    <w:name w:val=" Char Char24"/>
    <w:qFormat/>
    <w:uiPriority w:val="0"/>
    <w:rPr>
      <w:rFonts w:ascii="Courier New" w:hAnsi="Courier New"/>
      <w:kern w:val="2"/>
      <w:sz w:val="21"/>
    </w:rPr>
  </w:style>
  <w:style w:type="character" w:customStyle="1" w:styleId="104">
    <w:name w:val="招标正文 Char"/>
    <w:link w:val="105"/>
    <w:qFormat/>
    <w:uiPriority w:val="0"/>
    <w:rPr>
      <w:rFonts w:ascii="宋体" w:hAnsi="宋体"/>
      <w:kern w:val="2"/>
      <w:sz w:val="21"/>
      <w:szCs w:val="21"/>
      <w:lang w:bidi="ar-SA"/>
    </w:rPr>
  </w:style>
  <w:style w:type="paragraph" w:customStyle="1" w:styleId="105">
    <w:name w:val="招标正文"/>
    <w:basedOn w:val="1"/>
    <w:link w:val="104"/>
    <w:qFormat/>
    <w:uiPriority w:val="0"/>
    <w:pPr>
      <w:spacing w:line="300" w:lineRule="auto"/>
      <w:ind w:firstLine="420" w:firstLineChars="200"/>
    </w:pPr>
    <w:rPr>
      <w:rFonts w:ascii="宋体" w:hAnsi="宋体"/>
      <w:szCs w:val="21"/>
    </w:rPr>
  </w:style>
  <w:style w:type="paragraph" w:customStyle="1" w:styleId="10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7">
    <w:name w:val="Body Text Indent1"/>
    <w:basedOn w:val="1"/>
    <w:unhideWhenUsed/>
    <w:qFormat/>
    <w:uiPriority w:val="99"/>
    <w:pPr>
      <w:ind w:left="420" w:leftChars="200"/>
    </w:pPr>
  </w:style>
  <w:style w:type="paragraph" w:customStyle="1" w:styleId="108">
    <w:name w:val="链接"/>
    <w:qFormat/>
    <w:uiPriority w:val="0"/>
    <w:pPr>
      <w:widowControl w:val="0"/>
      <w:autoSpaceDE w:val="0"/>
      <w:autoSpaceDN w:val="0"/>
      <w:adjustRightInd w:val="0"/>
      <w:ind w:left="720"/>
    </w:pPr>
    <w:rPr>
      <w:rFonts w:ascii="Times New Roman" w:hAnsi="Times New Roman" w:eastAsia="宋体" w:cs="Times New Roman"/>
      <w:color w:val="0000FF"/>
      <w:sz w:val="21"/>
      <w:szCs w:val="21"/>
      <w:u w:val="single"/>
      <w:lang w:val="en-US" w:eastAsia="zh-CN" w:bidi="ar-SA"/>
    </w:rPr>
  </w:style>
  <w:style w:type="paragraph" w:customStyle="1" w:styleId="109">
    <w:name w:val="UserStyle_5"/>
    <w:basedOn w:val="1"/>
    <w:qFormat/>
    <w:uiPriority w:val="0"/>
    <w:pPr>
      <w:ind w:left="420" w:leftChars="200"/>
      <w:jc w:val="both"/>
      <w:textAlignment w:val="baseline"/>
    </w:pPr>
  </w:style>
  <w:style w:type="paragraph" w:customStyle="1" w:styleId="110">
    <w:name w:val="UserStyle_1"/>
    <w:next w:val="1"/>
    <w:qFormat/>
    <w:uiPriority w:val="0"/>
    <w:pPr>
      <w:ind w:left="1275"/>
      <w:jc w:val="both"/>
      <w:textAlignment w:val="baseline"/>
    </w:pPr>
    <w:rPr>
      <w:rFonts w:ascii="Calibri" w:hAnsi="Calibri" w:eastAsia="宋体" w:cs="Times New Roman"/>
      <w:sz w:val="21"/>
      <w:lang w:val="en-US" w:eastAsia="zh-CN" w:bidi="ar-SA"/>
    </w:rPr>
  </w:style>
  <w:style w:type="paragraph" w:customStyle="1" w:styleId="111">
    <w:name w:val="BodyText1I"/>
    <w:basedOn w:val="112"/>
    <w:qFormat/>
    <w:uiPriority w:val="0"/>
    <w:pPr>
      <w:spacing w:after="120"/>
      <w:ind w:firstLine="420" w:firstLineChars="100"/>
      <w:jc w:val="both"/>
      <w:textAlignment w:val="baseline"/>
    </w:pPr>
  </w:style>
  <w:style w:type="paragraph" w:customStyle="1" w:styleId="112">
    <w:name w:val="BodyText"/>
    <w:basedOn w:val="1"/>
    <w:next w:val="110"/>
    <w:qFormat/>
    <w:uiPriority w:val="0"/>
    <w:pPr>
      <w:spacing w:after="120"/>
      <w:jc w:val="both"/>
      <w:textAlignment w:val="baseline"/>
    </w:pPr>
  </w:style>
  <w:style w:type="paragraph" w:customStyle="1" w:styleId="113">
    <w:name w:val="TOC1"/>
    <w:basedOn w:val="1"/>
    <w:next w:val="1"/>
    <w:qFormat/>
    <w:uiPriority w:val="0"/>
    <w:pPr>
      <w:spacing w:before="120" w:after="120"/>
      <w:jc w:val="left"/>
      <w:textAlignment w:val="baseline"/>
    </w:pPr>
    <w:rPr>
      <w:rFonts w:ascii="Calibri" w:hAnsi="Calibri" w:eastAsia="宋体" w:cs="Calibri"/>
      <w:b/>
      <w:bCs/>
      <w:caps/>
      <w:kern w:val="2"/>
      <w:sz w:val="20"/>
      <w:szCs w:val="20"/>
      <w:lang w:val="en-US" w:eastAsia="zh-CN" w:bidi="ar-SA"/>
    </w:rPr>
  </w:style>
  <w:style w:type="paragraph" w:customStyle="1" w:styleId="114">
    <w:name w:val=" Char Char Char Char Char Char Char Char Char"/>
    <w:basedOn w:val="1"/>
    <w:qFormat/>
    <w:uiPriority w:val="0"/>
  </w:style>
  <w:style w:type="paragraph" w:customStyle="1" w:styleId="115">
    <w:name w:val="BodyTextIndent2"/>
    <w:basedOn w:val="1"/>
    <w:qFormat/>
    <w:uiPriority w:val="0"/>
    <w:pPr>
      <w:widowControl/>
      <w:spacing w:line="480" w:lineRule="auto"/>
      <w:ind w:firstLine="560"/>
      <w:jc w:val="left"/>
      <w:textAlignment w:val="baseline"/>
    </w:pPr>
    <w:rPr>
      <w:rFonts w:ascii="Calibri" w:hAnsi="Calibri" w:eastAsia="宋体"/>
      <w:kern w:val="0"/>
      <w:sz w:val="28"/>
      <w:szCs w:val="24"/>
      <w:lang w:val="en-US" w:eastAsia="zh-CN" w:bidi="ar-SA"/>
    </w:rPr>
  </w:style>
  <w:style w:type="paragraph" w:customStyle="1" w:styleId="116">
    <w:name w:val="UserStyle_2"/>
    <w:basedOn w:val="117"/>
    <w:next w:val="117"/>
    <w:qFormat/>
    <w:uiPriority w:val="0"/>
    <w:pPr>
      <w:spacing w:line="300" w:lineRule="auto"/>
      <w:ind w:firstLine="420" w:firstLineChars="200"/>
      <w:jc w:val="both"/>
      <w:textAlignment w:val="baseline"/>
    </w:pPr>
    <w:rPr>
      <w:rFonts w:ascii="宋体" w:hAnsi="宋体" w:eastAsia="宋体"/>
      <w:kern w:val="2"/>
      <w:sz w:val="21"/>
      <w:szCs w:val="21"/>
      <w:lang w:val="en-US" w:eastAsia="zh-CN" w:bidi="ar-SA"/>
    </w:rPr>
  </w:style>
  <w:style w:type="paragraph" w:customStyle="1" w:styleId="117">
    <w:name w:val="UserStyle_3"/>
    <w:basedOn w:val="1"/>
    <w:qFormat/>
    <w:uiPriority w:val="0"/>
    <w:pPr>
      <w:spacing w:line="300" w:lineRule="auto"/>
      <w:ind w:firstLine="200" w:firstLineChars="200"/>
      <w:jc w:val="both"/>
      <w:textAlignment w:val="baseline"/>
    </w:pPr>
    <w:rPr>
      <w:rFonts w:ascii="Calibri" w:hAnsi="Calibri" w:eastAsia="宋体"/>
      <w:kern w:val="2"/>
      <w:sz w:val="21"/>
      <w:szCs w:val="18"/>
      <w:lang w:val="en-US" w:eastAsia="zh-CN" w:bidi="ar-SA"/>
    </w:rPr>
  </w:style>
  <w:style w:type="paragraph" w:customStyle="1" w:styleId="118">
    <w:name w:val="UserStyle_8"/>
    <w:basedOn w:val="1"/>
    <w:next w:val="116"/>
    <w:qFormat/>
    <w:uiPriority w:val="0"/>
    <w:pPr>
      <w:jc w:val="both"/>
      <w:textAlignment w:val="baseline"/>
    </w:pPr>
    <w:rPr>
      <w:rFonts w:ascii="Calibri" w:hAnsi="Calibri" w:eastAsia="宋体"/>
      <w:b/>
      <w:kern w:val="2"/>
      <w:sz w:val="24"/>
      <w:szCs w:val="24"/>
      <w:lang w:val="en-US" w:eastAsia="zh-CN" w:bidi="ar-SA"/>
    </w:rPr>
  </w:style>
  <w:style w:type="paragraph" w:customStyle="1" w:styleId="119">
    <w:name w:val=" Char Char29 Char Char Char Char Char Char"/>
    <w:basedOn w:val="1"/>
    <w:qFormat/>
    <w:uiPriority w:val="0"/>
    <w:pPr>
      <w:spacing w:before="182" w:beforeLines="50" w:after="182" w:afterLines="50"/>
    </w:pPr>
    <w:rPr>
      <w:rFonts w:ascii="Tahoma" w:hAnsi="Tahoma"/>
      <w:sz w:val="24"/>
      <w:szCs w:val="20"/>
    </w:rPr>
  </w:style>
  <w:style w:type="paragraph" w:customStyle="1" w:styleId="120">
    <w:name w:val="Heading2"/>
    <w:basedOn w:val="1"/>
    <w:next w:val="1"/>
    <w:qFormat/>
    <w:uiPriority w:val="0"/>
    <w:pPr>
      <w:keepNext/>
      <w:keepLines/>
      <w:spacing w:before="260" w:after="260" w:line="416" w:lineRule="auto"/>
      <w:jc w:val="both"/>
      <w:textAlignment w:val="baseline"/>
    </w:pPr>
    <w:rPr>
      <w:rFonts w:ascii="Cambria" w:hAnsi="Cambria" w:eastAsia="宋体" w:cs="Times New Roman"/>
      <w:b/>
      <w:bCs/>
      <w:kern w:val="0"/>
      <w:sz w:val="32"/>
      <w:szCs w:val="32"/>
      <w:lang w:val="en-US" w:eastAsia="zh-CN" w:bidi="ar-SA"/>
    </w:rPr>
  </w:style>
  <w:style w:type="paragraph" w:customStyle="1" w:styleId="121">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22">
    <w:name w:val="UserStyle_7"/>
    <w:basedOn w:val="109"/>
    <w:qFormat/>
    <w:uiPriority w:val="0"/>
    <w:pPr>
      <w:ind w:left="0" w:leftChars="200" w:firstLine="420"/>
      <w:jc w:val="both"/>
      <w:textAlignment w:val="baseline"/>
    </w:pPr>
    <w:rPr>
      <w:rFonts w:eastAsia="Times New Roman"/>
      <w:sz w:val="32"/>
      <w:szCs w:val="32"/>
    </w:rPr>
  </w:style>
  <w:style w:type="paragraph" w:customStyle="1" w:styleId="123">
    <w:name w:val="Body Text First Indent 21"/>
    <w:basedOn w:val="107"/>
    <w:unhideWhenUsed/>
    <w:qFormat/>
    <w:uiPriority w:val="99"/>
    <w:pPr>
      <w:ind w:left="0" w:firstLine="420"/>
    </w:pPr>
    <w:rPr>
      <w:rFonts w:eastAsia="Times New Roman"/>
      <w:sz w:val="32"/>
      <w:szCs w:val="32"/>
    </w:rPr>
  </w:style>
  <w:style w:type="paragraph" w:customStyle="1" w:styleId="12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Table Paragraph"/>
    <w:basedOn w:val="1"/>
    <w:qFormat/>
    <w:uiPriority w:val="1"/>
    <w:rPr>
      <w:rFonts w:ascii="宋体" w:hAnsi="宋体" w:eastAsia="宋体" w:cs="宋体"/>
      <w:lang w:val="zh-CN" w:eastAsia="zh-CN" w:bidi="zh-CN"/>
    </w:rPr>
  </w:style>
  <w:style w:type="paragraph" w:customStyle="1" w:styleId="126">
    <w:name w:val="表格文字"/>
    <w:basedOn w:val="1"/>
    <w:qFormat/>
    <w:uiPriority w:val="0"/>
    <w:pPr>
      <w:adjustRightInd w:val="0"/>
      <w:spacing w:line="420" w:lineRule="atLeast"/>
      <w:jc w:val="left"/>
      <w:textAlignment w:val="baseline"/>
    </w:pPr>
    <w:rPr>
      <w:rFonts w:ascii="Times New Roman" w:hAnsi="Times New Roman" w:eastAsia="宋体" w:cs="Times New Roman"/>
      <w:kern w:val="0"/>
      <w:szCs w:val="20"/>
    </w:rPr>
  </w:style>
  <w:style w:type="character" w:customStyle="1" w:styleId="127">
    <w:name w:val="标题 5 字符"/>
    <w:semiHidden/>
    <w:qFormat/>
    <w:uiPriority w:val="9"/>
    <w:rPr>
      <w:b/>
      <w:bCs/>
      <w:kern w:val="2"/>
      <w:sz w:val="28"/>
      <w:szCs w:val="28"/>
    </w:rPr>
  </w:style>
  <w:style w:type="character" w:customStyle="1" w:styleId="128">
    <w:name w:val="标题 6 字符"/>
    <w:semiHidden/>
    <w:qFormat/>
    <w:uiPriority w:val="9"/>
    <w:rPr>
      <w:rFonts w:ascii="等线 Light" w:hAnsi="等线 Light" w:eastAsia="等线 Light" w:cs="Times New Roman"/>
      <w:b/>
      <w:bCs/>
      <w:kern w:val="2"/>
      <w:sz w:val="24"/>
      <w:szCs w:val="24"/>
    </w:rPr>
  </w:style>
  <w:style w:type="character" w:customStyle="1" w:styleId="129">
    <w:name w:val="标题 7 字符"/>
    <w:semiHidden/>
    <w:qFormat/>
    <w:uiPriority w:val="9"/>
    <w:rPr>
      <w:b/>
      <w:bCs/>
      <w:kern w:val="2"/>
      <w:sz w:val="24"/>
      <w:szCs w:val="24"/>
    </w:rPr>
  </w:style>
  <w:style w:type="character" w:customStyle="1" w:styleId="130">
    <w:name w:val="标题 8 字符"/>
    <w:semiHidden/>
    <w:qFormat/>
    <w:uiPriority w:val="9"/>
    <w:rPr>
      <w:rFonts w:ascii="等线 Light" w:hAnsi="等线 Light" w:eastAsia="等线 Light" w:cs="Times New Roman"/>
      <w:kern w:val="2"/>
      <w:sz w:val="24"/>
      <w:szCs w:val="24"/>
    </w:rPr>
  </w:style>
  <w:style w:type="character" w:customStyle="1" w:styleId="131">
    <w:name w:val="标题 9 字符"/>
    <w:semiHidden/>
    <w:qFormat/>
    <w:uiPriority w:val="9"/>
    <w:rPr>
      <w:rFonts w:ascii="等线 Light" w:hAnsi="等线 Light" w:eastAsia="等线 Light" w:cs="Times New Roman"/>
      <w:kern w:val="2"/>
      <w:sz w:val="21"/>
      <w:szCs w:val="21"/>
    </w:rPr>
  </w:style>
  <w:style w:type="character" w:customStyle="1" w:styleId="132">
    <w:name w:val="文档结构图 Char1"/>
    <w:qFormat/>
    <w:uiPriority w:val="0"/>
    <w:rPr>
      <w:rFonts w:ascii="宋体" w:hAnsi="Times New Roman" w:eastAsia="宋体" w:cs="Times New Roman"/>
      <w:sz w:val="18"/>
      <w:szCs w:val="18"/>
    </w:rPr>
  </w:style>
  <w:style w:type="character" w:customStyle="1" w:styleId="133">
    <w:name w:val="标题 Char1"/>
    <w:qFormat/>
    <w:uiPriority w:val="0"/>
    <w:rPr>
      <w:szCs w:val="24"/>
      <w:u w:val="single"/>
      <w:lang w:eastAsia="en-US"/>
    </w:rPr>
  </w:style>
  <w:style w:type="character" w:customStyle="1" w:styleId="134">
    <w:name w:val="样式3 Char"/>
    <w:qFormat/>
    <w:uiPriority w:val="0"/>
    <w:rPr>
      <w:rFonts w:hint="eastAsia" w:ascii="宋体" w:hAnsi="宋体" w:eastAsia="仿宋_GB2312" w:cs="Times New Roman"/>
      <w:b/>
      <w:bCs/>
      <w:kern w:val="2"/>
      <w:sz w:val="24"/>
      <w:szCs w:val="32"/>
      <w:lang w:val="en-US" w:eastAsia="zh-CN" w:bidi="ar-SA"/>
    </w:rPr>
  </w:style>
  <w:style w:type="character" w:customStyle="1" w:styleId="135">
    <w:name w:val="Char Char11"/>
    <w:qFormat/>
    <w:uiPriority w:val="0"/>
    <w:rPr>
      <w:rFonts w:ascii="Times New Roman" w:hAnsi="Times New Roman" w:eastAsia="黑体" w:cs="Times New Roman"/>
      <w:kern w:val="2"/>
      <w:sz w:val="44"/>
      <w:lang w:val="en-US" w:eastAsia="zh-CN"/>
    </w:rPr>
  </w:style>
  <w:style w:type="character" w:customStyle="1" w:styleId="136">
    <w:name w:val="招标正文 Char Char"/>
    <w:qFormat/>
    <w:uiPriority w:val="0"/>
    <w:rPr>
      <w:rFonts w:hAnsi="宋体"/>
      <w:color w:val="000000"/>
      <w:szCs w:val="21"/>
    </w:rPr>
  </w:style>
  <w:style w:type="character" w:customStyle="1" w:styleId="137">
    <w:name w:val="批注框文本 Char3"/>
    <w:qFormat/>
    <w:uiPriority w:val="0"/>
    <w:rPr>
      <w:rFonts w:ascii="Times New Roman" w:hAnsi="Times New Roman" w:eastAsia="宋体" w:cs="Times New Roman"/>
      <w:kern w:val="2"/>
      <w:sz w:val="18"/>
      <w:szCs w:val="18"/>
    </w:rPr>
  </w:style>
  <w:style w:type="character" w:customStyle="1" w:styleId="138">
    <w:name w:val="标题 3 Char"/>
    <w:qFormat/>
    <w:uiPriority w:val="0"/>
    <w:rPr>
      <w:rFonts w:ascii="仿宋_GB2312" w:eastAsia="仿宋_GB2312"/>
      <w:b/>
      <w:bCs/>
      <w:sz w:val="24"/>
    </w:rPr>
  </w:style>
  <w:style w:type="character" w:customStyle="1" w:styleId="139">
    <w:name w:val="color_red1"/>
    <w:qFormat/>
    <w:uiPriority w:val="0"/>
    <w:rPr>
      <w:rFonts w:ascii="Calibri" w:hAnsi="Calibri" w:eastAsia="宋体" w:cs="Times New Roman"/>
      <w:color w:val="FA0004"/>
    </w:rPr>
  </w:style>
  <w:style w:type="character" w:customStyle="1" w:styleId="140">
    <w:name w:val=" Char Char4"/>
    <w:qFormat/>
    <w:uiPriority w:val="0"/>
    <w:rPr>
      <w:rFonts w:ascii="宋体" w:hAnsi="Courier New" w:eastAsia="宋体" w:cs="Times New Roman"/>
      <w:kern w:val="2"/>
      <w:sz w:val="28"/>
    </w:rPr>
  </w:style>
  <w:style w:type="character" w:customStyle="1" w:styleId="141">
    <w:name w:val="标题 3 Char1"/>
    <w:qFormat/>
    <w:uiPriority w:val="0"/>
    <w:rPr>
      <w:rFonts w:ascii="仿宋_GB2312" w:hAnsi="Times New Roman" w:eastAsia="仿宋_GB2312" w:cs="MingLiU"/>
      <w:b/>
      <w:kern w:val="2"/>
      <w:sz w:val="24"/>
      <w:szCs w:val="28"/>
    </w:rPr>
  </w:style>
  <w:style w:type="character" w:customStyle="1" w:styleId="142">
    <w:name w:val="style31"/>
    <w:qFormat/>
    <w:uiPriority w:val="0"/>
    <w:rPr>
      <w:rFonts w:ascii="Calibri" w:hAnsi="Calibri" w:eastAsia="宋体" w:cs="Times New Roman"/>
      <w:sz w:val="10"/>
      <w:szCs w:val="10"/>
    </w:rPr>
  </w:style>
  <w:style w:type="character" w:customStyle="1" w:styleId="143">
    <w:name w:val="_Style 139"/>
    <w:qFormat/>
    <w:uiPriority w:val="0"/>
    <w:rPr>
      <w:rFonts w:ascii="Times New Roman" w:hAnsi="Times New Roman" w:eastAsia="宋体" w:cs="Times New Roman"/>
      <w:b/>
      <w:bCs/>
      <w:smallCaps/>
      <w:color w:val="C0504D"/>
      <w:spacing w:val="5"/>
      <w:u w:val="single"/>
    </w:rPr>
  </w:style>
  <w:style w:type="character" w:customStyle="1" w:styleId="144">
    <w:name w:val="日期 Char1"/>
    <w:qFormat/>
    <w:uiPriority w:val="0"/>
    <w:rPr>
      <w:rFonts w:ascii="Times New Roman" w:hAnsi="Times New Roman" w:eastAsia="宋体" w:cs="Times New Roman"/>
      <w:szCs w:val="20"/>
    </w:rPr>
  </w:style>
  <w:style w:type="character" w:customStyle="1" w:styleId="145">
    <w:name w:val="style121"/>
    <w:qFormat/>
    <w:uiPriority w:val="0"/>
    <w:rPr>
      <w:rFonts w:hint="eastAsia" w:ascii="宋体" w:hAnsi="宋体" w:eastAsia="宋体" w:cs="Times New Roman"/>
      <w:sz w:val="18"/>
      <w:szCs w:val="18"/>
    </w:rPr>
  </w:style>
  <w:style w:type="character" w:customStyle="1" w:styleId="146">
    <w:name w:val="日期 Char"/>
    <w:qFormat/>
    <w:uiPriority w:val="0"/>
    <w:rPr>
      <w:sz w:val="24"/>
    </w:rPr>
  </w:style>
  <w:style w:type="character" w:customStyle="1" w:styleId="147">
    <w:name w:val="引用 Char Char Char"/>
    <w:qFormat/>
    <w:uiPriority w:val="0"/>
    <w:rPr>
      <w:rFonts w:ascii="Calibri" w:hAnsi="Calibri" w:eastAsia="宋体" w:cs="Times New Roman"/>
      <w:i/>
      <w:iCs/>
      <w:color w:val="000000"/>
      <w:kern w:val="2"/>
      <w:sz w:val="21"/>
      <w:szCs w:val="22"/>
      <w:lang w:bidi="ar-SA"/>
    </w:rPr>
  </w:style>
  <w:style w:type="character" w:customStyle="1" w:styleId="148">
    <w:name w:val="正文文本 Char2"/>
    <w:qFormat/>
    <w:uiPriority w:val="0"/>
    <w:rPr>
      <w:rFonts w:ascii="Times New Roman" w:hAnsi="Times New Roman" w:eastAsia="宋体" w:cs="Times New Roman"/>
      <w:kern w:val="2"/>
      <w:sz w:val="21"/>
      <w:szCs w:val="24"/>
    </w:rPr>
  </w:style>
  <w:style w:type="character" w:customStyle="1" w:styleId="149">
    <w:name w:val="标题 Char"/>
    <w:qFormat/>
    <w:uiPriority w:val="0"/>
    <w:rPr>
      <w:rFonts w:ascii="Cambria" w:hAnsi="Cambria" w:eastAsia="宋体" w:cs="Times New Roman"/>
      <w:b/>
      <w:bCs/>
      <w:kern w:val="2"/>
      <w:sz w:val="32"/>
      <w:szCs w:val="32"/>
    </w:rPr>
  </w:style>
  <w:style w:type="character" w:customStyle="1" w:styleId="150">
    <w:name w:val="脚注文本 Char"/>
    <w:qFormat/>
    <w:uiPriority w:val="0"/>
    <w:rPr>
      <w:sz w:val="18"/>
    </w:rPr>
  </w:style>
  <w:style w:type="character" w:customStyle="1" w:styleId="151">
    <w:name w:val="标题4 Char Char"/>
    <w:link w:val="152"/>
    <w:qFormat/>
    <w:uiPriority w:val="0"/>
    <w:rPr>
      <w:rFonts w:ascii="Arial" w:hAnsi="Arial"/>
      <w:b/>
      <w:bCs/>
      <w:sz w:val="24"/>
      <w:szCs w:val="32"/>
    </w:rPr>
  </w:style>
  <w:style w:type="paragraph" w:customStyle="1" w:styleId="152">
    <w:name w:val="标题4"/>
    <w:basedOn w:val="4"/>
    <w:next w:val="25"/>
    <w:link w:val="151"/>
    <w:qFormat/>
    <w:uiPriority w:val="0"/>
    <w:pPr>
      <w:keepNext/>
      <w:keepLines/>
      <w:autoSpaceDE/>
      <w:autoSpaceDN/>
      <w:adjustRightInd/>
      <w:snapToGrid/>
      <w:spacing w:before="260" w:after="260" w:line="413" w:lineRule="auto"/>
      <w:jc w:val="both"/>
    </w:pPr>
    <w:rPr>
      <w:rFonts w:ascii="Arial" w:hAnsi="Arial" w:eastAsia="宋体" w:cs="Times New Roman"/>
      <w:bCs/>
      <w:spacing w:val="0"/>
      <w:w w:val="100"/>
      <w:sz w:val="24"/>
    </w:rPr>
  </w:style>
  <w:style w:type="character" w:customStyle="1" w:styleId="153">
    <w:name w:val="标题 4 Char"/>
    <w:qFormat/>
    <w:uiPriority w:val="0"/>
    <w:rPr>
      <w:b/>
      <w:bCs/>
      <w:sz w:val="24"/>
    </w:rPr>
  </w:style>
  <w:style w:type="character" w:customStyle="1" w:styleId="154">
    <w:name w:val=" Char Char6"/>
    <w:qFormat/>
    <w:uiPriority w:val="0"/>
    <w:rPr>
      <w:rFonts w:ascii="Times New Roman" w:hAnsi="Times New Roman" w:eastAsia="宋体" w:cs="Times New Roman"/>
      <w:sz w:val="24"/>
    </w:rPr>
  </w:style>
  <w:style w:type="character" w:customStyle="1" w:styleId="155">
    <w:name w:val="明显引用 Char Char Char"/>
    <w:qFormat/>
    <w:uiPriority w:val="0"/>
    <w:rPr>
      <w:rFonts w:ascii="Calibri" w:hAnsi="Calibri" w:eastAsia="宋体" w:cs="Times New Roman"/>
      <w:b/>
      <w:bCs/>
      <w:i/>
      <w:iCs/>
      <w:color w:val="4F81BD"/>
      <w:kern w:val="2"/>
      <w:sz w:val="21"/>
      <w:szCs w:val="22"/>
      <w:lang w:bidi="ar-SA"/>
    </w:rPr>
  </w:style>
  <w:style w:type="character" w:customStyle="1" w:styleId="156">
    <w:name w:val=" Char Char5"/>
    <w:qFormat/>
    <w:uiPriority w:val="0"/>
    <w:rPr>
      <w:rFonts w:ascii="Times New Roman" w:hAnsi="Times New Roman" w:eastAsia="宋体" w:cs="Times New Roman"/>
      <w:kern w:val="2"/>
      <w:sz w:val="18"/>
    </w:rPr>
  </w:style>
  <w:style w:type="character" w:customStyle="1" w:styleId="157">
    <w:name w:val="正文文本缩进 2 Char1"/>
    <w:qFormat/>
    <w:uiPriority w:val="0"/>
    <w:rPr>
      <w:rFonts w:ascii="Times New Roman" w:hAnsi="Times New Roman" w:eastAsia="宋体" w:cs="Times New Roman"/>
      <w:szCs w:val="20"/>
    </w:rPr>
  </w:style>
  <w:style w:type="character" w:customStyle="1" w:styleId="158">
    <w:name w:val="副标题 Char2"/>
    <w:qFormat/>
    <w:uiPriority w:val="0"/>
    <w:rPr>
      <w:rFonts w:ascii="Cambria" w:hAnsi="Cambria" w:eastAsia="宋体" w:cs="Times New Roman"/>
      <w:b/>
      <w:bCs/>
      <w:kern w:val="28"/>
      <w:sz w:val="32"/>
      <w:szCs w:val="32"/>
    </w:rPr>
  </w:style>
  <w:style w:type="character" w:customStyle="1" w:styleId="159">
    <w:name w:val="Heading 1 Char"/>
    <w:qFormat/>
    <w:uiPriority w:val="0"/>
    <w:rPr>
      <w:rFonts w:hint="eastAsia" w:ascii="宋体" w:hAnsi="宋体" w:eastAsia="宋体" w:cs="Times New Roman"/>
      <w:b/>
      <w:bCs/>
      <w:kern w:val="44"/>
      <w:sz w:val="44"/>
      <w:szCs w:val="44"/>
      <w:lang w:val="en-US" w:eastAsia="zh-CN" w:bidi="ar-SA"/>
    </w:rPr>
  </w:style>
  <w:style w:type="character" w:customStyle="1" w:styleId="160">
    <w:name w:val="_Style 156"/>
    <w:qFormat/>
    <w:uiPriority w:val="0"/>
    <w:rPr>
      <w:rFonts w:ascii="Times New Roman" w:hAnsi="Times New Roman" w:eastAsia="宋体" w:cs="Times New Roman"/>
      <w:i/>
      <w:iCs/>
      <w:color w:val="808080"/>
    </w:rPr>
  </w:style>
  <w:style w:type="character" w:customStyle="1" w:styleId="161">
    <w:name w:val="style161"/>
    <w:qFormat/>
    <w:uiPriority w:val="0"/>
    <w:rPr>
      <w:rFonts w:ascii="Calibri" w:hAnsi="Calibri" w:eastAsia="宋体" w:cs="Times New Roman"/>
      <w:b/>
      <w:bCs/>
      <w:color w:val="333333"/>
    </w:rPr>
  </w:style>
  <w:style w:type="character" w:customStyle="1" w:styleId="162">
    <w:name w:val="明显引用 Char2"/>
    <w:qFormat/>
    <w:uiPriority w:val="0"/>
    <w:rPr>
      <w:rFonts w:ascii="Times New Roman" w:hAnsi="Times New Roman" w:eastAsia="宋体" w:cs="Times New Roman"/>
      <w:b/>
      <w:bCs/>
      <w:i/>
      <w:iCs/>
      <w:color w:val="4F81BD"/>
      <w:kern w:val="2"/>
      <w:sz w:val="21"/>
    </w:rPr>
  </w:style>
  <w:style w:type="character" w:customStyle="1" w:styleId="163">
    <w:name w:val="日期 Char2"/>
    <w:qFormat/>
    <w:uiPriority w:val="0"/>
    <w:rPr>
      <w:rFonts w:ascii="Times New Roman" w:hAnsi="Times New Roman" w:eastAsia="宋体" w:cs="Times New Roman"/>
      <w:kern w:val="2"/>
      <w:sz w:val="21"/>
      <w:szCs w:val="22"/>
    </w:rPr>
  </w:style>
  <w:style w:type="character" w:customStyle="1" w:styleId="164">
    <w:name w:val="标题 7 Char1"/>
    <w:qFormat/>
    <w:uiPriority w:val="0"/>
    <w:rPr>
      <w:rFonts w:ascii="Times New Roman" w:hAnsi="Times New Roman" w:eastAsia="仿宋_GB2312" w:cs="Times New Roman"/>
      <w:sz w:val="30"/>
    </w:rPr>
  </w:style>
  <w:style w:type="character" w:customStyle="1" w:styleId="165">
    <w:name w:val="l1"/>
    <w:qFormat/>
    <w:uiPriority w:val="0"/>
    <w:rPr>
      <w:rFonts w:ascii="Calibri" w:hAnsi="Calibri" w:eastAsia="宋体" w:cs="Times New Roman"/>
    </w:rPr>
  </w:style>
  <w:style w:type="character" w:customStyle="1" w:styleId="166">
    <w:name w:val="尾注文本 Char2"/>
    <w:qFormat/>
    <w:uiPriority w:val="0"/>
    <w:rPr>
      <w:rFonts w:ascii="Times New Roman" w:hAnsi="Times New Roman" w:eastAsia="宋体" w:cs="Times New Roman"/>
      <w:szCs w:val="20"/>
    </w:rPr>
  </w:style>
  <w:style w:type="character" w:customStyle="1" w:styleId="167">
    <w:name w:val="Char Char28"/>
    <w:qFormat/>
    <w:uiPriority w:val="0"/>
    <w:rPr>
      <w:rFonts w:ascii="Cambria" w:hAnsi="Cambria" w:eastAsia="宋体" w:cs="Times New Roman"/>
      <w:b/>
      <w:bCs/>
      <w:kern w:val="2"/>
      <w:sz w:val="32"/>
      <w:szCs w:val="32"/>
    </w:rPr>
  </w:style>
  <w:style w:type="character" w:customStyle="1" w:styleId="168">
    <w:name w:val="ht1"/>
    <w:qFormat/>
    <w:uiPriority w:val="0"/>
    <w:rPr>
      <w:rFonts w:ascii="黑体" w:hAnsi="Calibri" w:eastAsia="黑体" w:cs="Times New Roman"/>
      <w:b/>
      <w:bCs/>
    </w:rPr>
  </w:style>
  <w:style w:type="character" w:customStyle="1" w:styleId="169">
    <w:name w:val="ca-181"/>
    <w:qFormat/>
    <w:uiPriority w:val="0"/>
    <w:rPr>
      <w:rFonts w:hint="eastAsia" w:ascii="宋体" w:hAnsi="宋体" w:eastAsia="宋体" w:cs="Times New Roman"/>
      <w:sz w:val="21"/>
      <w:szCs w:val="21"/>
    </w:rPr>
  </w:style>
  <w:style w:type="character" w:customStyle="1" w:styleId="170">
    <w:name w:val="页脚 Char"/>
    <w:qFormat/>
    <w:uiPriority w:val="0"/>
    <w:rPr>
      <w:sz w:val="18"/>
      <w:szCs w:val="18"/>
    </w:rPr>
  </w:style>
  <w:style w:type="character" w:customStyle="1" w:styleId="171">
    <w:name w:val="main_tdbg_7601"/>
    <w:qFormat/>
    <w:uiPriority w:val="0"/>
    <w:rPr>
      <w:rFonts w:ascii="Calibri" w:hAnsi="Calibri" w:eastAsia="宋体" w:cs="Times New Roman"/>
      <w:sz w:val="14"/>
      <w:szCs w:val="14"/>
    </w:rPr>
  </w:style>
  <w:style w:type="character" w:customStyle="1" w:styleId="172">
    <w:name w:val="0d1471"/>
    <w:qFormat/>
    <w:uiPriority w:val="0"/>
    <w:rPr>
      <w:rFonts w:ascii="Calibri" w:hAnsi="Calibri" w:eastAsia="宋体" w:cs="Times New Roman"/>
      <w:color w:val="000000"/>
      <w:sz w:val="11"/>
      <w:szCs w:val="11"/>
      <w:u w:val="none"/>
    </w:rPr>
  </w:style>
  <w:style w:type="character" w:customStyle="1" w:styleId="173">
    <w:name w:val="bar_info2"/>
    <w:qFormat/>
    <w:uiPriority w:val="0"/>
    <w:rPr>
      <w:rFonts w:ascii="Times New Roman" w:hAnsi="Times New Roman" w:eastAsia="宋体" w:cs="Times New Roman"/>
    </w:rPr>
  </w:style>
  <w:style w:type="character" w:customStyle="1" w:styleId="174">
    <w:name w:val="defaultfont1"/>
    <w:qFormat/>
    <w:uiPriority w:val="0"/>
    <w:rPr>
      <w:rFonts w:ascii="Calibri" w:hAnsi="Calibri" w:eastAsia="宋体" w:cs="Times New Roman"/>
    </w:rPr>
  </w:style>
  <w:style w:type="character" w:customStyle="1" w:styleId="175">
    <w:name w:val="纯文本 Char"/>
    <w:qFormat/>
    <w:uiPriority w:val="0"/>
    <w:rPr>
      <w:rFonts w:ascii="宋体" w:hAnsi="Courier New"/>
      <w:sz w:val="28"/>
    </w:rPr>
  </w:style>
  <w:style w:type="character" w:customStyle="1" w:styleId="176">
    <w:name w:val="标题 2 Char1"/>
    <w:qFormat/>
    <w:uiPriority w:val="0"/>
    <w:rPr>
      <w:rFonts w:ascii="仿宋_GB2312" w:hAnsi="Times New Roman" w:eastAsia="仿宋_GB2312" w:cs="MingLiU"/>
      <w:b/>
      <w:spacing w:val="1"/>
      <w:w w:val="99"/>
      <w:kern w:val="2"/>
      <w:sz w:val="28"/>
      <w:szCs w:val="32"/>
    </w:rPr>
  </w:style>
  <w:style w:type="character" w:customStyle="1" w:styleId="177">
    <w:name w:val="_Style 173"/>
    <w:qFormat/>
    <w:uiPriority w:val="0"/>
    <w:rPr>
      <w:rFonts w:ascii="Times New Roman" w:hAnsi="Times New Roman" w:eastAsia="宋体" w:cs="Times New Roman"/>
      <w:b/>
      <w:bCs/>
      <w:smallCaps/>
      <w:spacing w:val="5"/>
    </w:rPr>
  </w:style>
  <w:style w:type="character" w:customStyle="1" w:styleId="178">
    <w:name w:val="spanright"/>
    <w:qFormat/>
    <w:uiPriority w:val="0"/>
    <w:rPr>
      <w:rFonts w:ascii="Calibri" w:hAnsi="Calibri" w:eastAsia="宋体" w:cs="Times New Roman"/>
    </w:rPr>
  </w:style>
  <w:style w:type="character" w:customStyle="1" w:styleId="179">
    <w:name w:val="unnamed1"/>
    <w:qFormat/>
    <w:uiPriority w:val="0"/>
    <w:rPr>
      <w:rFonts w:ascii="Calibri" w:hAnsi="Calibri" w:eastAsia="宋体" w:cs="Times New Roman"/>
    </w:rPr>
  </w:style>
  <w:style w:type="character" w:customStyle="1" w:styleId="180">
    <w:name w:val="正文文本缩进 3 Char1"/>
    <w:qFormat/>
    <w:uiPriority w:val="0"/>
    <w:rPr>
      <w:rFonts w:ascii="Times New Roman" w:hAnsi="Times New Roman" w:eastAsia="宋体" w:cs="Times New Roman"/>
      <w:sz w:val="16"/>
      <w:szCs w:val="16"/>
    </w:rPr>
  </w:style>
  <w:style w:type="character" w:customStyle="1" w:styleId="181">
    <w:name w:val="明显引用 Char"/>
    <w:link w:val="182"/>
    <w:qFormat/>
    <w:uiPriority w:val="0"/>
    <w:rPr>
      <w:b/>
      <w:bCs/>
      <w:i/>
      <w:iCs/>
      <w:color w:val="4F81BD"/>
      <w:kern w:val="2"/>
      <w:sz w:val="21"/>
      <w:szCs w:val="22"/>
    </w:rPr>
  </w:style>
  <w:style w:type="paragraph" w:styleId="182">
    <w:name w:val="Intense Quote"/>
    <w:basedOn w:val="1"/>
    <w:next w:val="1"/>
    <w:link w:val="181"/>
    <w:qFormat/>
    <w:uiPriority w:val="0"/>
    <w:pPr>
      <w:pBdr>
        <w:bottom w:val="single" w:color="4F81BD" w:sz="4" w:space="4"/>
      </w:pBdr>
      <w:spacing w:before="200" w:after="280"/>
      <w:ind w:left="936" w:right="936"/>
    </w:pPr>
    <w:rPr>
      <w:b/>
      <w:bCs/>
      <w:i/>
      <w:iCs/>
      <w:color w:val="4F81BD"/>
      <w:szCs w:val="22"/>
    </w:rPr>
  </w:style>
  <w:style w:type="character" w:customStyle="1" w:styleId="183">
    <w:name w:val="批注主题 Char3"/>
    <w:qFormat/>
    <w:uiPriority w:val="0"/>
    <w:rPr>
      <w:rFonts w:ascii="Times New Roman" w:hAnsi="Times New Roman" w:eastAsia="宋体" w:cs="Times New Roman"/>
      <w:b/>
      <w:bCs/>
      <w:kern w:val="2"/>
      <w:sz w:val="21"/>
      <w:szCs w:val="22"/>
    </w:rPr>
  </w:style>
  <w:style w:type="character" w:customStyle="1" w:styleId="184">
    <w:name w:val="ca-151"/>
    <w:qFormat/>
    <w:uiPriority w:val="0"/>
    <w:rPr>
      <w:rFonts w:hint="default" w:ascii="Times New Roman" w:hAnsi="Times New Roman" w:eastAsia="宋体" w:cs="Times New Roman"/>
      <w:sz w:val="21"/>
      <w:szCs w:val="21"/>
    </w:rPr>
  </w:style>
  <w:style w:type="character" w:customStyle="1" w:styleId="185">
    <w:name w:val="intel3"/>
    <w:qFormat/>
    <w:uiPriority w:val="0"/>
    <w:rPr>
      <w:rFonts w:ascii="Calibri" w:hAnsi="Calibri" w:eastAsia="宋体" w:cs="Times New Roman"/>
    </w:rPr>
  </w:style>
  <w:style w:type="character" w:customStyle="1" w:styleId="186">
    <w:name w:val="font161"/>
    <w:qFormat/>
    <w:uiPriority w:val="0"/>
    <w:rPr>
      <w:rFonts w:ascii="Calibri" w:hAnsi="Calibri" w:eastAsia="宋体" w:cs="Times New Roman"/>
      <w:b/>
      <w:bCs/>
      <w:sz w:val="32"/>
      <w:szCs w:val="32"/>
    </w:rPr>
  </w:style>
  <w:style w:type="character" w:customStyle="1" w:styleId="187">
    <w:name w:val="Char Char3"/>
    <w:qFormat/>
    <w:uiPriority w:val="0"/>
    <w:rPr>
      <w:rFonts w:hint="eastAsia" w:ascii="宋体" w:hAnsi="宋体" w:eastAsia="宋体" w:cs="Times New Roman"/>
      <w:kern w:val="2"/>
      <w:sz w:val="18"/>
      <w:szCs w:val="18"/>
      <w:lang w:val="en-US" w:eastAsia="zh-CN" w:bidi="ar-SA"/>
    </w:rPr>
  </w:style>
  <w:style w:type="character" w:customStyle="1" w:styleId="188">
    <w:name w:val="脚注文本 Char1"/>
    <w:qFormat/>
    <w:uiPriority w:val="0"/>
    <w:rPr>
      <w:rFonts w:ascii="Times New Roman" w:hAnsi="Times New Roman" w:eastAsia="宋体" w:cs="Times New Roman"/>
      <w:sz w:val="18"/>
      <w:szCs w:val="18"/>
    </w:rPr>
  </w:style>
  <w:style w:type="character" w:customStyle="1" w:styleId="189">
    <w:name w:val=" Char Char34"/>
    <w:qFormat/>
    <w:uiPriority w:val="0"/>
    <w:rPr>
      <w:rFonts w:ascii="Times New Roman" w:hAnsi="Times New Roman" w:eastAsia="黑体" w:cs="Times New Roman"/>
      <w:kern w:val="2"/>
      <w:sz w:val="44"/>
      <w:lang w:val="en-US" w:eastAsia="zh-CN" w:bidi="ar-SA"/>
    </w:rPr>
  </w:style>
  <w:style w:type="character" w:customStyle="1" w:styleId="190">
    <w:name w:val="normaltext1"/>
    <w:qFormat/>
    <w:uiPriority w:val="0"/>
    <w:rPr>
      <w:rFonts w:hint="default" w:ascii="ˎ̥" w:hAnsi="ˎ̥" w:eastAsia="宋体" w:cs="Times New Roman"/>
      <w:sz w:val="9"/>
      <w:szCs w:val="9"/>
    </w:rPr>
  </w:style>
  <w:style w:type="character" w:customStyle="1" w:styleId="191">
    <w:name w:val="标题 2 Char"/>
    <w:link w:val="4"/>
    <w:qFormat/>
    <w:uiPriority w:val="0"/>
    <w:rPr>
      <w:rFonts w:ascii="仿宋_GB2312" w:eastAsia="仿宋_GB2312"/>
      <w:b/>
      <w:spacing w:val="1"/>
      <w:w w:val="99"/>
      <w:sz w:val="28"/>
    </w:rPr>
  </w:style>
  <w:style w:type="character" w:customStyle="1" w:styleId="192">
    <w:name w:val="正文文本 Char3"/>
    <w:qFormat/>
    <w:uiPriority w:val="0"/>
    <w:rPr>
      <w:rFonts w:ascii="Times New Roman" w:hAnsi="Times New Roman" w:eastAsia="宋体" w:cs="Times New Roman"/>
      <w:kern w:val="2"/>
      <w:sz w:val="21"/>
      <w:szCs w:val="22"/>
    </w:rPr>
  </w:style>
  <w:style w:type="character" w:customStyle="1" w:styleId="193">
    <w:name w:val=" Char Char2"/>
    <w:qFormat/>
    <w:uiPriority w:val="0"/>
    <w:rPr>
      <w:rFonts w:ascii="Times New Roman" w:hAnsi="Times New Roman" w:eastAsia="宋体" w:cs="Times New Roman"/>
      <w:kern w:val="2"/>
      <w:sz w:val="26"/>
    </w:rPr>
  </w:style>
  <w:style w:type="character" w:customStyle="1" w:styleId="194">
    <w:name w:val="Char Char29"/>
    <w:qFormat/>
    <w:uiPriority w:val="0"/>
    <w:rPr>
      <w:rFonts w:ascii="Calibri" w:hAnsi="Calibri" w:eastAsia="宋体" w:cs="Times New Roman"/>
      <w:b/>
      <w:bCs/>
      <w:kern w:val="44"/>
      <w:sz w:val="44"/>
      <w:szCs w:val="44"/>
    </w:rPr>
  </w:style>
  <w:style w:type="character" w:customStyle="1" w:styleId="195">
    <w:name w:val="纯文本 Char1"/>
    <w:qFormat/>
    <w:uiPriority w:val="0"/>
    <w:rPr>
      <w:rFonts w:ascii="宋体" w:hAnsi="Courier New" w:eastAsia="宋体" w:cs="Courier New"/>
      <w:szCs w:val="21"/>
    </w:rPr>
  </w:style>
  <w:style w:type="character" w:customStyle="1" w:styleId="196">
    <w:name w:val=" Char Char10"/>
    <w:qFormat/>
    <w:uiPriority w:val="0"/>
    <w:rPr>
      <w:rFonts w:ascii="仿宋_GB2312" w:hAnsi="Times New Roman" w:eastAsia="仿宋_GB2312" w:cs="Times New Roman"/>
      <w:b/>
      <w:spacing w:val="1"/>
      <w:w w:val="99"/>
      <w:sz w:val="28"/>
    </w:rPr>
  </w:style>
  <w:style w:type="character" w:customStyle="1" w:styleId="197">
    <w:name w:val=" Char Char8"/>
    <w:qFormat/>
    <w:uiPriority w:val="0"/>
    <w:rPr>
      <w:rFonts w:ascii="仿宋_GB2312" w:hAnsi="Times New Roman" w:eastAsia="仿宋_GB2312" w:cs="Times New Roman"/>
      <w:b/>
      <w:sz w:val="24"/>
    </w:rPr>
  </w:style>
  <w:style w:type="character" w:customStyle="1" w:styleId="198">
    <w:name w:val="批注主题 Char"/>
    <w:qFormat/>
    <w:uiPriority w:val="0"/>
    <w:rPr>
      <w:sz w:val="24"/>
    </w:rPr>
  </w:style>
  <w:style w:type="character" w:customStyle="1" w:styleId="199">
    <w:name w:val=" Char Char1"/>
    <w:qFormat/>
    <w:uiPriority w:val="0"/>
    <w:rPr>
      <w:rFonts w:ascii="Times New Roman" w:hAnsi="Times New Roman" w:eastAsia="宋体" w:cs="Times New Roman"/>
      <w:i/>
      <w:kern w:val="2"/>
      <w:sz w:val="26"/>
    </w:rPr>
  </w:style>
  <w:style w:type="character" w:customStyle="1" w:styleId="200">
    <w:name w:val="标题 8 Char1"/>
    <w:qFormat/>
    <w:uiPriority w:val="0"/>
    <w:rPr>
      <w:rFonts w:ascii="Times New Roman" w:hAnsi="Arial" w:eastAsia="仿宋_GB2312" w:cs="Times New Roman"/>
      <w:sz w:val="30"/>
    </w:rPr>
  </w:style>
  <w:style w:type="character" w:customStyle="1" w:styleId="201">
    <w:name w:val="副标题 Char1"/>
    <w:qFormat/>
    <w:uiPriority w:val="0"/>
    <w:rPr>
      <w:rFonts w:ascii="Cambria" w:hAnsi="Cambria" w:eastAsia="宋体" w:cs="Times New Roman"/>
      <w:b/>
      <w:bCs/>
      <w:kern w:val="28"/>
      <w:sz w:val="32"/>
      <w:szCs w:val="32"/>
    </w:rPr>
  </w:style>
  <w:style w:type="character" w:customStyle="1" w:styleId="202">
    <w:name w:val="批注框文本 Char2"/>
    <w:qFormat/>
    <w:uiPriority w:val="0"/>
    <w:rPr>
      <w:rFonts w:ascii="Times New Roman" w:hAnsi="Times New Roman" w:eastAsia="宋体" w:cs="Times New Roman"/>
      <w:kern w:val="2"/>
      <w:sz w:val="18"/>
      <w:szCs w:val="18"/>
    </w:rPr>
  </w:style>
  <w:style w:type="character" w:customStyle="1" w:styleId="203">
    <w:name w:val="Char Char2"/>
    <w:qFormat/>
    <w:uiPriority w:val="0"/>
    <w:rPr>
      <w:rFonts w:hint="eastAsia" w:ascii="宋体" w:hAnsi="宋体" w:eastAsia="宋体" w:cs="Times New Roman"/>
      <w:sz w:val="24"/>
      <w:lang w:val="en-US" w:eastAsia="zh-CN" w:bidi="ar-SA"/>
    </w:rPr>
  </w:style>
  <w:style w:type="character" w:customStyle="1" w:styleId="204">
    <w:name w:val="批注文字 Char Char"/>
    <w:qFormat/>
    <w:uiPriority w:val="0"/>
    <w:rPr>
      <w:rFonts w:ascii="宋体" w:hAnsi="Times New Roman" w:eastAsia="宋体" w:cs="Times New Roman"/>
      <w:sz w:val="28"/>
      <w:szCs w:val="20"/>
    </w:rPr>
  </w:style>
  <w:style w:type="character" w:customStyle="1" w:styleId="205">
    <w:name w:val="标题 1 Char"/>
    <w:qFormat/>
    <w:uiPriority w:val="0"/>
    <w:rPr>
      <w:rFonts w:eastAsia="黑体"/>
      <w:sz w:val="44"/>
    </w:rPr>
  </w:style>
  <w:style w:type="character" w:customStyle="1" w:styleId="206">
    <w:name w:val="ca-51"/>
    <w:qFormat/>
    <w:uiPriority w:val="0"/>
    <w:rPr>
      <w:rFonts w:hint="eastAsia" w:ascii="宋体" w:hAnsi="宋体" w:eastAsia="宋体" w:cs="Times New Roman"/>
      <w:b/>
      <w:bCs/>
      <w:color w:val="000000"/>
      <w:spacing w:val="-20"/>
      <w:sz w:val="16"/>
      <w:szCs w:val="16"/>
    </w:rPr>
  </w:style>
  <w:style w:type="character" w:customStyle="1" w:styleId="207">
    <w:name w:val="Char Char4"/>
    <w:qFormat/>
    <w:uiPriority w:val="0"/>
    <w:rPr>
      <w:rFonts w:ascii="Calibri" w:hAnsi="Calibri" w:eastAsia="宋体" w:cs="Times New Roman"/>
      <w:szCs w:val="24"/>
      <w:u w:val="single"/>
      <w:lang w:eastAsia="en-US"/>
    </w:rPr>
  </w:style>
  <w:style w:type="character" w:customStyle="1" w:styleId="208">
    <w:name w:val=" Char Char9"/>
    <w:qFormat/>
    <w:uiPriority w:val="0"/>
    <w:rPr>
      <w:rFonts w:ascii="仿宋_GB2312" w:hAnsi="Times New Roman" w:eastAsia="仿宋_GB2312" w:cs="Times New Roman"/>
      <w:b/>
      <w:sz w:val="24"/>
    </w:rPr>
  </w:style>
  <w:style w:type="character" w:customStyle="1" w:styleId="209">
    <w:name w:val="文档结构图 Char3"/>
    <w:qFormat/>
    <w:uiPriority w:val="0"/>
    <w:rPr>
      <w:rFonts w:ascii="宋体" w:hAnsi="Times New Roman" w:eastAsia="宋体" w:cs="Times New Roman"/>
      <w:kern w:val="2"/>
      <w:sz w:val="18"/>
      <w:szCs w:val="18"/>
    </w:rPr>
  </w:style>
  <w:style w:type="character" w:customStyle="1" w:styleId="210">
    <w:name w:val="spanleft"/>
    <w:qFormat/>
    <w:uiPriority w:val="0"/>
    <w:rPr>
      <w:rFonts w:ascii="Calibri" w:hAnsi="Calibri" w:eastAsia="宋体" w:cs="Times New Roman"/>
    </w:rPr>
  </w:style>
  <w:style w:type="character" w:customStyle="1" w:styleId="211">
    <w:name w:val="_Style 207"/>
    <w:qFormat/>
    <w:uiPriority w:val="0"/>
    <w:rPr>
      <w:rFonts w:ascii="Times New Roman" w:hAnsi="Times New Roman" w:eastAsia="宋体" w:cs="Times New Roman"/>
      <w:b/>
      <w:bCs/>
      <w:i/>
      <w:iCs/>
      <w:color w:val="4F81BD"/>
    </w:rPr>
  </w:style>
  <w:style w:type="character" w:customStyle="1" w:styleId="212">
    <w:name w:val="批注框文本 Char1"/>
    <w:qFormat/>
    <w:uiPriority w:val="0"/>
    <w:rPr>
      <w:rFonts w:ascii="Times New Roman" w:hAnsi="Times New Roman" w:eastAsia="宋体" w:cs="Times New Roman"/>
      <w:sz w:val="18"/>
      <w:szCs w:val="18"/>
    </w:rPr>
  </w:style>
  <w:style w:type="character" w:customStyle="1" w:styleId="213">
    <w:name w:val="页脚 Char1"/>
    <w:qFormat/>
    <w:uiPriority w:val="0"/>
    <w:rPr>
      <w:rFonts w:ascii="Times New Roman" w:hAnsi="Times New Roman" w:eastAsia="宋体" w:cs="Times New Roman"/>
      <w:kern w:val="2"/>
      <w:sz w:val="18"/>
      <w:szCs w:val="18"/>
      <w:lang w:val="en-US" w:eastAsia="zh-CN" w:bidi="ar-SA"/>
    </w:rPr>
  </w:style>
  <w:style w:type="character" w:customStyle="1" w:styleId="214">
    <w:name w:val=" Char Char17"/>
    <w:qFormat/>
    <w:uiPriority w:val="0"/>
    <w:rPr>
      <w:rFonts w:ascii="Cambria" w:hAnsi="Cambria" w:eastAsia="宋体" w:cs="Times New Roman"/>
      <w:b/>
      <w:bCs/>
      <w:kern w:val="2"/>
      <w:sz w:val="32"/>
      <w:szCs w:val="32"/>
    </w:rPr>
  </w:style>
  <w:style w:type="character" w:customStyle="1" w:styleId="215">
    <w:name w:val="HTML 预设格式 Char1"/>
    <w:qFormat/>
    <w:uiPriority w:val="0"/>
    <w:rPr>
      <w:rFonts w:ascii="Courier New" w:hAnsi="Courier New" w:eastAsia="宋体" w:cs="Courier New"/>
      <w:sz w:val="20"/>
      <w:szCs w:val="20"/>
    </w:rPr>
  </w:style>
  <w:style w:type="character" w:customStyle="1" w:styleId="216">
    <w:name w:val="标题 5 Char1"/>
    <w:qFormat/>
    <w:uiPriority w:val="0"/>
    <w:rPr>
      <w:rFonts w:ascii="宋体" w:hAnsi="宋体" w:eastAsia="宋体" w:cs="宋体"/>
      <w:b/>
      <w:bCs/>
    </w:rPr>
  </w:style>
  <w:style w:type="character" w:customStyle="1" w:styleId="217">
    <w:name w:val=" Char Char7"/>
    <w:qFormat/>
    <w:uiPriority w:val="0"/>
    <w:rPr>
      <w:rFonts w:ascii="Times New Roman" w:hAnsi="Times New Roman" w:eastAsia="宋体" w:cs="Times New Roman"/>
      <w:kern w:val="2"/>
      <w:sz w:val="18"/>
    </w:rPr>
  </w:style>
  <w:style w:type="character" w:customStyle="1" w:styleId="218">
    <w:name w:val="正文文本 2 Char1"/>
    <w:qFormat/>
    <w:uiPriority w:val="0"/>
    <w:rPr>
      <w:rFonts w:ascii="Times New Roman" w:hAnsi="Times New Roman" w:eastAsia="宋体" w:cs="Times New Roman"/>
      <w:szCs w:val="20"/>
    </w:rPr>
  </w:style>
  <w:style w:type="character" w:customStyle="1" w:styleId="219">
    <w:name w:val="标题 1 Char1"/>
    <w:qFormat/>
    <w:uiPriority w:val="0"/>
    <w:rPr>
      <w:rFonts w:ascii="Times New Roman" w:hAnsi="Times New Roman" w:eastAsia="黑体" w:cs="Times New Roman"/>
      <w:kern w:val="2"/>
      <w:sz w:val="44"/>
      <w:szCs w:val="44"/>
    </w:rPr>
  </w:style>
  <w:style w:type="character" w:customStyle="1" w:styleId="220">
    <w:name w:val="批注文字 Char1"/>
    <w:qFormat/>
    <w:uiPriority w:val="0"/>
    <w:rPr>
      <w:rFonts w:ascii="Times New Roman" w:hAnsi="Times New Roman" w:eastAsia="宋体" w:cs="Times New Roman"/>
      <w:szCs w:val="20"/>
    </w:rPr>
  </w:style>
  <w:style w:type="character" w:customStyle="1" w:styleId="221">
    <w:name w:val="正文文本 2 Char"/>
    <w:qFormat/>
    <w:uiPriority w:val="0"/>
    <w:rPr>
      <w:i/>
      <w:sz w:val="26"/>
    </w:rPr>
  </w:style>
  <w:style w:type="character" w:customStyle="1" w:styleId="222">
    <w:name w:val="批注主题 Char Char"/>
    <w:qFormat/>
    <w:uiPriority w:val="0"/>
    <w:rPr>
      <w:rFonts w:ascii="Times New Roman" w:hAnsi="Times New Roman" w:eastAsia="宋体" w:cs="Times New Roman"/>
      <w:sz w:val="24"/>
    </w:rPr>
  </w:style>
  <w:style w:type="character" w:customStyle="1" w:styleId="223">
    <w:name w:val=" Char Char Char"/>
    <w:qFormat/>
    <w:uiPriority w:val="0"/>
    <w:rPr>
      <w:rFonts w:ascii="Times New Roman" w:hAnsi="Times New Roman" w:eastAsia="宋体" w:cs="Times New Roman"/>
      <w:kern w:val="2"/>
      <w:sz w:val="18"/>
    </w:rPr>
  </w:style>
  <w:style w:type="character" w:customStyle="1" w:styleId="224">
    <w:name w:val="标题 6 Char1"/>
    <w:qFormat/>
    <w:uiPriority w:val="0"/>
    <w:rPr>
      <w:rFonts w:ascii="Times New Roman" w:hAnsi="Arial" w:eastAsia="仿宋_GB2312" w:cs="Times New Roman"/>
      <w:sz w:val="30"/>
    </w:rPr>
  </w:style>
  <w:style w:type="character" w:customStyle="1" w:styleId="225">
    <w:name w:val="正文文本 3 Char1"/>
    <w:qFormat/>
    <w:uiPriority w:val="0"/>
    <w:rPr>
      <w:rFonts w:ascii="Times New Roman" w:hAnsi="Times New Roman" w:eastAsia="宋体" w:cs="Times New Roman"/>
      <w:sz w:val="16"/>
      <w:szCs w:val="16"/>
    </w:rPr>
  </w:style>
  <w:style w:type="character" w:customStyle="1" w:styleId="226">
    <w:name w:val="批注主题 Char1"/>
    <w:qFormat/>
    <w:uiPriority w:val="0"/>
    <w:rPr>
      <w:rFonts w:ascii="Times New Roman" w:hAnsi="Times New Roman" w:eastAsia="宋体" w:cs="Times New Roman"/>
      <w:b/>
      <w:bCs/>
      <w:szCs w:val="20"/>
    </w:rPr>
  </w:style>
  <w:style w:type="character" w:customStyle="1" w:styleId="227">
    <w:name w:val=" Char Char11"/>
    <w:qFormat/>
    <w:uiPriority w:val="0"/>
    <w:rPr>
      <w:rFonts w:ascii="Times New Roman" w:hAnsi="Times New Roman" w:eastAsia="黑体" w:cs="Times New Roman"/>
      <w:kern w:val="2"/>
      <w:sz w:val="44"/>
      <w:lang w:val="en-US" w:eastAsia="zh-CN"/>
    </w:rPr>
  </w:style>
  <w:style w:type="character" w:customStyle="1" w:styleId="228">
    <w:name w:val="标题 Char2"/>
    <w:qFormat/>
    <w:uiPriority w:val="0"/>
    <w:rPr>
      <w:rFonts w:ascii="Cambria" w:hAnsi="Cambria" w:eastAsia="宋体" w:cs="Times New Roman"/>
      <w:b/>
      <w:bCs/>
      <w:sz w:val="32"/>
      <w:szCs w:val="32"/>
    </w:rPr>
  </w:style>
  <w:style w:type="character" w:customStyle="1" w:styleId="229">
    <w:name w:val="Char Char1"/>
    <w:qFormat/>
    <w:uiPriority w:val="0"/>
    <w:rPr>
      <w:rFonts w:hint="eastAsia" w:ascii="宋体" w:hAnsi="宋体" w:eastAsia="宋体" w:cs="Times New Roman"/>
      <w:kern w:val="2"/>
      <w:sz w:val="18"/>
      <w:szCs w:val="18"/>
      <w:lang w:val="en-US" w:eastAsia="zh-CN" w:bidi="ar-SA"/>
    </w:rPr>
  </w:style>
  <w:style w:type="character" w:customStyle="1" w:styleId="230">
    <w:name w:val="ca-610"/>
    <w:qFormat/>
    <w:uiPriority w:val="0"/>
    <w:rPr>
      <w:rFonts w:hint="eastAsia" w:ascii="宋体" w:hAnsi="宋体" w:eastAsia="宋体" w:cs="Times New Roman"/>
      <w:sz w:val="21"/>
      <w:szCs w:val="21"/>
    </w:rPr>
  </w:style>
  <w:style w:type="character" w:customStyle="1" w:styleId="231">
    <w:name w:val="正文首行缩进 2 Char1"/>
    <w:qFormat/>
    <w:uiPriority w:val="0"/>
    <w:rPr>
      <w:rFonts w:ascii="Times New Roman" w:hAnsi="Times New Roman" w:eastAsia="宋体" w:cs="Times New Roman"/>
      <w:szCs w:val="20"/>
    </w:rPr>
  </w:style>
  <w:style w:type="character" w:customStyle="1" w:styleId="232">
    <w:name w:val="正文文本 Char"/>
    <w:qFormat/>
    <w:uiPriority w:val="0"/>
    <w:rPr>
      <w:sz w:val="26"/>
    </w:rPr>
  </w:style>
  <w:style w:type="character" w:customStyle="1" w:styleId="233">
    <w:name w:val="textcontents"/>
    <w:qFormat/>
    <w:uiPriority w:val="0"/>
    <w:rPr>
      <w:rFonts w:ascii="Times New Roman" w:hAnsi="Times New Roman" w:eastAsia="宋体" w:cs="Times New Roman"/>
    </w:rPr>
  </w:style>
  <w:style w:type="character" w:customStyle="1" w:styleId="234">
    <w:name w:val="正文文本缩进 3 Char2"/>
    <w:qFormat/>
    <w:uiPriority w:val="0"/>
    <w:rPr>
      <w:rFonts w:ascii="Times New Roman" w:hAnsi="Times New Roman" w:eastAsia="宋体" w:cs="Times New Roman"/>
      <w:kern w:val="2"/>
      <w:sz w:val="16"/>
      <w:szCs w:val="16"/>
    </w:rPr>
  </w:style>
  <w:style w:type="character" w:customStyle="1" w:styleId="235">
    <w:name w:val="ss16"/>
    <w:qFormat/>
    <w:uiPriority w:val="0"/>
    <w:rPr>
      <w:rFonts w:hint="eastAsia" w:ascii="宋体" w:hAnsi="宋体" w:eastAsia="宋体" w:cs="Times New Roman"/>
      <w:color w:val="000000"/>
      <w:sz w:val="9"/>
      <w:szCs w:val="9"/>
    </w:rPr>
  </w:style>
  <w:style w:type="character" w:customStyle="1" w:styleId="236">
    <w:name w:val="尾注文本 Char"/>
    <w:qFormat/>
    <w:uiPriority w:val="0"/>
    <w:rPr>
      <w:rFonts w:ascii="Times New Roman" w:hAnsi="Times New Roman" w:eastAsia="宋体" w:cs="Times New Roman"/>
      <w:kern w:val="2"/>
      <w:sz w:val="21"/>
    </w:rPr>
  </w:style>
  <w:style w:type="character" w:customStyle="1" w:styleId="237">
    <w:name w:val="正文文本缩进 Char1"/>
    <w:qFormat/>
    <w:uiPriority w:val="0"/>
    <w:rPr>
      <w:rFonts w:ascii="Times New Roman" w:hAnsi="Times New Roman" w:eastAsia="宋体" w:cs="Times New Roman"/>
      <w:szCs w:val="20"/>
    </w:rPr>
  </w:style>
  <w:style w:type="character" w:customStyle="1" w:styleId="238">
    <w:name w:val="批注主题 Char2"/>
    <w:qFormat/>
    <w:uiPriority w:val="0"/>
    <w:rPr>
      <w:rFonts w:ascii="Times New Roman" w:hAnsi="Times New Roman" w:eastAsia="宋体" w:cs="Times New Roman"/>
      <w:b/>
      <w:bCs/>
      <w:sz w:val="21"/>
    </w:rPr>
  </w:style>
  <w:style w:type="character" w:customStyle="1" w:styleId="239">
    <w:name w:val="页眉 Char1"/>
    <w:qFormat/>
    <w:uiPriority w:val="0"/>
    <w:rPr>
      <w:rFonts w:ascii="Times New Roman" w:hAnsi="Times New Roman" w:eastAsia="宋体" w:cs="Times New Roman"/>
      <w:kern w:val="2"/>
      <w:sz w:val="18"/>
      <w:szCs w:val="18"/>
      <w:lang w:val="en-US" w:eastAsia="zh-CN" w:bidi="ar-SA"/>
    </w:rPr>
  </w:style>
  <w:style w:type="character" w:customStyle="1" w:styleId="240">
    <w:name w:val="引用 Char2"/>
    <w:qFormat/>
    <w:uiPriority w:val="0"/>
    <w:rPr>
      <w:rFonts w:ascii="Times New Roman" w:hAnsi="Times New Roman" w:eastAsia="宋体" w:cs="Times New Roman"/>
      <w:i/>
      <w:iCs/>
      <w:color w:val="000000"/>
      <w:kern w:val="2"/>
      <w:sz w:val="21"/>
    </w:rPr>
  </w:style>
  <w:style w:type="character" w:customStyle="1" w:styleId="241">
    <w:name w:val=" Char Char3"/>
    <w:qFormat/>
    <w:uiPriority w:val="0"/>
    <w:rPr>
      <w:rFonts w:ascii="Times New Roman" w:hAnsi="Times New Roman" w:eastAsia="宋体" w:cs="Times New Roman"/>
      <w:kern w:val="2"/>
      <w:sz w:val="18"/>
    </w:rPr>
  </w:style>
  <w:style w:type="character" w:customStyle="1" w:styleId="242">
    <w:name w:val="正文文本 Char1"/>
    <w:qFormat/>
    <w:uiPriority w:val="0"/>
    <w:rPr>
      <w:rFonts w:ascii="Times New Roman" w:hAnsi="Times New Roman" w:eastAsia="宋体" w:cs="Times New Roman"/>
      <w:szCs w:val="20"/>
    </w:rPr>
  </w:style>
  <w:style w:type="character" w:customStyle="1" w:styleId="243">
    <w:name w:val="title11"/>
    <w:qFormat/>
    <w:uiPriority w:val="0"/>
    <w:rPr>
      <w:rFonts w:ascii="Calibri" w:hAnsi="Calibri" w:eastAsia="宋体" w:cs="Times New Roman"/>
      <w:b/>
      <w:bCs/>
      <w:color w:val="FFFFFF"/>
      <w:sz w:val="11"/>
      <w:szCs w:val="11"/>
    </w:rPr>
  </w:style>
  <w:style w:type="character" w:customStyle="1" w:styleId="244">
    <w:name w:val="文档结构图 Char2"/>
    <w:qFormat/>
    <w:uiPriority w:val="0"/>
    <w:rPr>
      <w:rFonts w:ascii="Times New Roman" w:hAnsi="Times New Roman" w:eastAsia="宋体" w:cs="Times New Roman"/>
      <w:kern w:val="2"/>
      <w:sz w:val="21"/>
      <w:szCs w:val="24"/>
      <w:shd w:val="clear" w:color="auto" w:fill="000080"/>
    </w:rPr>
  </w:style>
  <w:style w:type="character" w:customStyle="1" w:styleId="245">
    <w:name w:val="16"/>
    <w:qFormat/>
    <w:uiPriority w:val="0"/>
    <w:rPr>
      <w:rFonts w:hint="default" w:ascii="Tahoma" w:hAnsi="Tahoma" w:eastAsia="宋体" w:cs="Tahoma"/>
      <w:color w:val="0000FF"/>
      <w:sz w:val="24"/>
      <w:szCs w:val="24"/>
      <w:u w:val="single"/>
    </w:rPr>
  </w:style>
  <w:style w:type="character" w:customStyle="1" w:styleId="246">
    <w:name w:val="明显引用 Char1"/>
    <w:qFormat/>
    <w:uiPriority w:val="0"/>
    <w:rPr>
      <w:rFonts w:ascii="Times New Roman" w:hAnsi="Times New Roman" w:eastAsia="宋体" w:cs="Times New Roman"/>
      <w:b/>
      <w:bCs/>
      <w:i/>
      <w:iCs/>
      <w:color w:val="4F81BD"/>
      <w:kern w:val="2"/>
      <w:sz w:val="21"/>
      <w:szCs w:val="22"/>
    </w:rPr>
  </w:style>
  <w:style w:type="character" w:customStyle="1" w:styleId="247">
    <w:name w:val="style21"/>
    <w:qFormat/>
    <w:uiPriority w:val="0"/>
    <w:rPr>
      <w:rFonts w:ascii="Calibri" w:hAnsi="Calibri" w:eastAsia="宋体" w:cs="Times New Roman"/>
      <w:b/>
      <w:bCs/>
      <w:sz w:val="28"/>
      <w:szCs w:val="28"/>
    </w:rPr>
  </w:style>
  <w:style w:type="character" w:customStyle="1" w:styleId="248">
    <w:name w:val="批注文字 Char"/>
    <w:qFormat/>
    <w:uiPriority w:val="0"/>
    <w:rPr>
      <w:rFonts w:ascii="Times New Roman" w:hAnsi="Times New Roman" w:eastAsia="宋体" w:cs="Times New Roman"/>
      <w:kern w:val="2"/>
      <w:sz w:val="21"/>
    </w:rPr>
  </w:style>
  <w:style w:type="character" w:customStyle="1" w:styleId="249">
    <w:name w:val="标题 9 Char1"/>
    <w:qFormat/>
    <w:uiPriority w:val="0"/>
    <w:rPr>
      <w:rFonts w:ascii="Times New Roman" w:hAnsi="Times New Roman" w:eastAsia="仿宋_GB2312" w:cs="Times New Roman"/>
      <w:sz w:val="30"/>
    </w:rPr>
  </w:style>
  <w:style w:type="character" w:customStyle="1" w:styleId="250">
    <w:name w:val="引用 Char"/>
    <w:link w:val="251"/>
    <w:qFormat/>
    <w:uiPriority w:val="0"/>
    <w:rPr>
      <w:i/>
      <w:iCs/>
      <w:color w:val="000000"/>
      <w:kern w:val="2"/>
      <w:sz w:val="21"/>
      <w:szCs w:val="22"/>
    </w:rPr>
  </w:style>
  <w:style w:type="paragraph" w:styleId="251">
    <w:name w:val="Quote"/>
    <w:basedOn w:val="1"/>
    <w:next w:val="1"/>
    <w:link w:val="250"/>
    <w:qFormat/>
    <w:uiPriority w:val="0"/>
    <w:rPr>
      <w:i/>
      <w:iCs/>
      <w:color w:val="000000"/>
      <w:szCs w:val="22"/>
    </w:rPr>
  </w:style>
  <w:style w:type="character" w:customStyle="1" w:styleId="252">
    <w:name w:val="批注框文本 Char"/>
    <w:qFormat/>
    <w:uiPriority w:val="0"/>
    <w:rPr>
      <w:sz w:val="18"/>
    </w:rPr>
  </w:style>
  <w:style w:type="character" w:customStyle="1" w:styleId="253">
    <w:name w:val="样式 Char Char"/>
    <w:qFormat/>
    <w:uiPriority w:val="0"/>
    <w:rPr>
      <w:rFonts w:ascii="宋体" w:hAnsi="宋体" w:eastAsia="宋体" w:cs="Times New Roman"/>
      <w:sz w:val="24"/>
      <w:lang w:val="en-US" w:eastAsia="zh-CN"/>
    </w:rPr>
  </w:style>
  <w:style w:type="character" w:customStyle="1" w:styleId="254">
    <w:name w:val="引用 Char1"/>
    <w:qFormat/>
    <w:uiPriority w:val="0"/>
    <w:rPr>
      <w:rFonts w:ascii="Times New Roman" w:hAnsi="Times New Roman" w:eastAsia="宋体" w:cs="Times New Roman"/>
      <w:i/>
      <w:iCs/>
      <w:color w:val="000000"/>
      <w:kern w:val="2"/>
      <w:sz w:val="21"/>
      <w:szCs w:val="22"/>
    </w:rPr>
  </w:style>
  <w:style w:type="character" w:customStyle="1" w:styleId="255">
    <w:name w:val="docpro"/>
    <w:qFormat/>
    <w:uiPriority w:val="0"/>
    <w:rPr>
      <w:rFonts w:ascii="Calibri" w:hAnsi="Calibri" w:eastAsia="宋体" w:cs="Times New Roman"/>
    </w:rPr>
  </w:style>
  <w:style w:type="character" w:customStyle="1" w:styleId="256">
    <w:name w:val="_Style 252"/>
    <w:qFormat/>
    <w:uiPriority w:val="0"/>
    <w:rPr>
      <w:rFonts w:ascii="Times New Roman" w:hAnsi="Times New Roman" w:eastAsia="宋体" w:cs="Times New Roman"/>
      <w:smallCaps/>
      <w:color w:val="C0504D"/>
      <w:u w:val="single"/>
    </w:rPr>
  </w:style>
  <w:style w:type="character" w:customStyle="1" w:styleId="257">
    <w:name w:val="标题 4 Char1"/>
    <w:qFormat/>
    <w:uiPriority w:val="0"/>
    <w:rPr>
      <w:rFonts w:ascii="仿宋_GB2312" w:hAnsi="Times New Roman" w:eastAsia="仿宋_GB2312" w:cs="MingLiU"/>
      <w:b/>
      <w:kern w:val="2"/>
      <w:sz w:val="24"/>
      <w:szCs w:val="28"/>
    </w:rPr>
  </w:style>
  <w:style w:type="character" w:customStyle="1" w:styleId="258">
    <w:name w:val="文档结构图 Char"/>
    <w:qFormat/>
    <w:uiPriority w:val="0"/>
    <w:rPr>
      <w:shd w:val="clear" w:color="auto" w:fill="000080"/>
    </w:rPr>
  </w:style>
  <w:style w:type="character" w:customStyle="1" w:styleId="259">
    <w:name w:val="ca-141"/>
    <w:qFormat/>
    <w:uiPriority w:val="0"/>
    <w:rPr>
      <w:rFonts w:hint="eastAsia" w:ascii="仿宋_GB2312" w:hAnsi="Times New Roman" w:eastAsia="仿宋_GB2312" w:cs="Times New Roman"/>
      <w:sz w:val="21"/>
      <w:szCs w:val="21"/>
    </w:rPr>
  </w:style>
  <w:style w:type="character" w:customStyle="1" w:styleId="260">
    <w:name w:val="批注文字 Char2"/>
    <w:qFormat/>
    <w:uiPriority w:val="0"/>
    <w:rPr>
      <w:rFonts w:ascii="Times New Roman" w:hAnsi="Times New Roman" w:eastAsia="宋体" w:cs="Times New Roman"/>
      <w:kern w:val="2"/>
      <w:sz w:val="21"/>
      <w:szCs w:val="22"/>
    </w:rPr>
  </w:style>
  <w:style w:type="character" w:customStyle="1" w:styleId="261">
    <w:name w:val="14t1"/>
    <w:qFormat/>
    <w:uiPriority w:val="0"/>
    <w:rPr>
      <w:rFonts w:hint="eastAsia" w:ascii="宋体" w:hAnsi="宋体" w:eastAsia="宋体" w:cs="Times New Roman"/>
      <w:sz w:val="11"/>
      <w:szCs w:val="11"/>
    </w:rPr>
  </w:style>
  <w:style w:type="character" w:customStyle="1" w:styleId="262">
    <w:name w:val="标题5 Char Char"/>
    <w:link w:val="263"/>
    <w:qFormat/>
    <w:uiPriority w:val="0"/>
    <w:rPr>
      <w:rFonts w:ascii="Arial" w:hAnsi="Arial"/>
      <w:b/>
      <w:bCs/>
      <w:sz w:val="24"/>
      <w:szCs w:val="32"/>
    </w:rPr>
  </w:style>
  <w:style w:type="paragraph" w:customStyle="1" w:styleId="263">
    <w:name w:val="标题5"/>
    <w:basedOn w:val="5"/>
    <w:link w:val="262"/>
    <w:qFormat/>
    <w:uiPriority w:val="0"/>
    <w:pPr>
      <w:keepNext/>
      <w:keepLines/>
      <w:autoSpaceDE/>
      <w:autoSpaceDN/>
      <w:adjustRightInd/>
      <w:spacing w:before="260" w:after="260" w:line="413" w:lineRule="auto"/>
      <w:jc w:val="both"/>
    </w:pPr>
    <w:rPr>
      <w:rFonts w:ascii="Arial" w:hAnsi="Arial" w:eastAsia="宋体" w:cs="Times New Roman"/>
      <w:bCs/>
      <w:szCs w:val="32"/>
    </w:rPr>
  </w:style>
  <w:style w:type="paragraph" w:customStyle="1" w:styleId="264">
    <w:name w:val="默认段落字体 Para Char Char Char Char"/>
    <w:basedOn w:val="1"/>
    <w:qFormat/>
    <w:uiPriority w:val="0"/>
    <w:rPr>
      <w:szCs w:val="21"/>
    </w:rPr>
  </w:style>
  <w:style w:type="paragraph" w:customStyle="1" w:styleId="265">
    <w:name w:val="Char Char Char Char Char Char Char Char Char Char Char Char Char Char Char Char"/>
    <w:basedOn w:val="17"/>
    <w:qFormat/>
    <w:uiPriority w:val="0"/>
    <w:pPr>
      <w:shd w:val="clear" w:color="auto" w:fill="000080"/>
      <w:spacing w:line="360" w:lineRule="auto"/>
      <w:ind w:firstLine="200" w:firstLineChars="200"/>
    </w:pPr>
    <w:rPr>
      <w:rFonts w:ascii="Times New Roman"/>
      <w:kern w:val="0"/>
      <w:sz w:val="20"/>
      <w:szCs w:val="24"/>
      <w:shd w:val="clear" w:color="auto" w:fill="000080"/>
    </w:rPr>
  </w:style>
  <w:style w:type="paragraph" w:customStyle="1" w:styleId="266">
    <w:name w:val="rr"/>
    <w:basedOn w:val="1"/>
    <w:qFormat/>
    <w:uiPriority w:val="0"/>
    <w:pPr>
      <w:widowControl/>
      <w:spacing w:before="100" w:beforeAutospacing="1" w:after="100" w:afterAutospacing="1"/>
      <w:jc w:val="left"/>
    </w:pPr>
    <w:rPr>
      <w:rFonts w:hint="eastAsia" w:ascii="宋体" w:hAnsi="宋体"/>
      <w:kern w:val="0"/>
      <w:szCs w:val="21"/>
    </w:rPr>
  </w:style>
  <w:style w:type="character" w:customStyle="1" w:styleId="267">
    <w:name w:val="正文文本缩进 3 字符"/>
    <w:semiHidden/>
    <w:qFormat/>
    <w:uiPriority w:val="99"/>
    <w:rPr>
      <w:kern w:val="2"/>
      <w:sz w:val="16"/>
      <w:szCs w:val="16"/>
    </w:rPr>
  </w:style>
  <w:style w:type="paragraph" w:customStyle="1" w:styleId="268">
    <w:name w:val=" Char Char16 Char Char Char Char"/>
    <w:basedOn w:val="1"/>
    <w:qFormat/>
    <w:uiPriority w:val="0"/>
  </w:style>
  <w:style w:type="paragraph" w:customStyle="1" w:styleId="269">
    <w:name w:val="style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0">
    <w:name w:val="自定样式1"/>
    <w:basedOn w:val="1"/>
    <w:qFormat/>
    <w:uiPriority w:val="0"/>
    <w:pPr>
      <w:suppressAutoHyphens/>
      <w:jc w:val="center"/>
    </w:pPr>
    <w:rPr>
      <w:rFonts w:ascii="宋体" w:hAnsi="宋体"/>
      <w:color w:val="000000"/>
      <w:sz w:val="18"/>
    </w:rPr>
  </w:style>
  <w:style w:type="paragraph" w:styleId="271">
    <w:name w:val="List Paragraph"/>
    <w:basedOn w:val="1"/>
    <w:qFormat/>
    <w:uiPriority w:val="0"/>
    <w:pPr>
      <w:ind w:firstLine="420" w:firstLineChars="200"/>
    </w:pPr>
    <w:rPr>
      <w:sz w:val="28"/>
      <w:szCs w:val="20"/>
    </w:rPr>
  </w:style>
  <w:style w:type="paragraph" w:customStyle="1" w:styleId="272">
    <w:name w:val=" Char Char30 Char Char Char Char"/>
    <w:basedOn w:val="1"/>
    <w:qFormat/>
    <w:uiPriority w:val="0"/>
  </w:style>
  <w:style w:type="paragraph" w:customStyle="1" w:styleId="273">
    <w:name w:val="目录文字"/>
    <w:basedOn w:val="1"/>
    <w:qFormat/>
    <w:uiPriority w:val="0"/>
    <w:pPr>
      <w:widowControl/>
      <w:spacing w:line="480" w:lineRule="auto"/>
      <w:jc w:val="left"/>
    </w:pPr>
    <w:rPr>
      <w:rFonts w:ascii="宋体" w:hAnsi="宋体"/>
      <w:kern w:val="0"/>
      <w:sz w:val="24"/>
      <w:szCs w:val="20"/>
    </w:rPr>
  </w:style>
  <w:style w:type="paragraph" w:customStyle="1" w:styleId="274">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75">
    <w:name w:val="表格内容"/>
    <w:basedOn w:val="1"/>
    <w:qFormat/>
    <w:uiPriority w:val="0"/>
    <w:pPr>
      <w:suppressLineNumbers/>
      <w:suppressAutoHyphens/>
    </w:pPr>
    <w:rPr>
      <w:rFonts w:ascii="Calibri" w:hAnsi="Calibri"/>
    </w:rPr>
  </w:style>
  <w:style w:type="paragraph" w:customStyle="1" w:styleId="276">
    <w:name w:val=" Char9"/>
    <w:basedOn w:val="17"/>
    <w:qFormat/>
    <w:uiPriority w:val="0"/>
    <w:pPr>
      <w:shd w:val="clear" w:color="auto" w:fill="000080"/>
      <w:spacing w:line="360" w:lineRule="auto"/>
      <w:ind w:firstLine="200" w:firstLineChars="200"/>
    </w:pPr>
    <w:rPr>
      <w:rFonts w:ascii="Times New Roman"/>
      <w:kern w:val="0"/>
      <w:sz w:val="20"/>
      <w:szCs w:val="20"/>
    </w:rPr>
  </w:style>
  <w:style w:type="character" w:customStyle="1" w:styleId="277">
    <w:name w:val="尾注文本 字符"/>
    <w:semiHidden/>
    <w:qFormat/>
    <w:uiPriority w:val="99"/>
    <w:rPr>
      <w:kern w:val="2"/>
      <w:sz w:val="21"/>
      <w:szCs w:val="24"/>
    </w:rPr>
  </w:style>
  <w:style w:type="paragraph" w:customStyle="1" w:styleId="278">
    <w:name w:val="pa-34"/>
    <w:qFormat/>
    <w:uiPriority w:val="0"/>
    <w:pPr>
      <w:spacing w:line="360" w:lineRule="atLeast"/>
      <w:ind w:firstLine="420"/>
    </w:pPr>
    <w:rPr>
      <w:rFonts w:ascii="宋体" w:hAnsi="宋体" w:eastAsia="宋体" w:cs="Times New Roman"/>
      <w:sz w:val="24"/>
      <w:lang w:val="en-US" w:eastAsia="zh-CN" w:bidi="ar-SA"/>
    </w:rPr>
  </w:style>
  <w:style w:type="paragraph" w:customStyle="1" w:styleId="279">
    <w:name w:val="l-2"/>
    <w:basedOn w:val="1"/>
    <w:qFormat/>
    <w:uiPriority w:val="0"/>
    <w:pPr>
      <w:widowControl/>
      <w:spacing w:before="100" w:beforeAutospacing="1" w:after="100" w:afterAutospacing="1"/>
      <w:jc w:val="left"/>
    </w:pPr>
    <w:rPr>
      <w:rFonts w:ascii="宋体" w:hAnsi="宋体" w:cs="宋体"/>
      <w:b/>
      <w:bCs/>
      <w:color w:val="000000"/>
      <w:kern w:val="0"/>
      <w:sz w:val="13"/>
      <w:szCs w:val="13"/>
    </w:rPr>
  </w:style>
  <w:style w:type="character" w:customStyle="1" w:styleId="280">
    <w:name w:val="正文文本 3 字符"/>
    <w:semiHidden/>
    <w:qFormat/>
    <w:uiPriority w:val="99"/>
    <w:rPr>
      <w:rFonts w:ascii="Times New Roman" w:hAnsi="Times New Roman" w:eastAsia="宋体" w:cs="Times New Roman"/>
      <w:kern w:val="2"/>
      <w:sz w:val="16"/>
      <w:szCs w:val="16"/>
    </w:rPr>
  </w:style>
  <w:style w:type="paragraph" w:customStyle="1" w:styleId="281">
    <w:name w:val=" Char Char Char Char Char Char Char"/>
    <w:basedOn w:val="1"/>
    <w:qFormat/>
    <w:uiPriority w:val="0"/>
  </w:style>
  <w:style w:type="paragraph" w:customStyle="1" w:styleId="282">
    <w:name w:val="样式3"/>
    <w:basedOn w:val="5"/>
    <w:qFormat/>
    <w:uiPriority w:val="0"/>
    <w:pPr>
      <w:keepNext/>
      <w:keepLines/>
      <w:spacing w:before="0" w:line="360" w:lineRule="auto"/>
      <w:ind w:left="119" w:right="-23"/>
    </w:pPr>
    <w:rPr>
      <w:rFonts w:ascii="宋体" w:hAnsi="宋体" w:eastAsia="宋体" w:cs="Times New Roman"/>
      <w:bCs/>
      <w:szCs w:val="32"/>
    </w:rPr>
  </w:style>
  <w:style w:type="paragraph" w:customStyle="1" w:styleId="283">
    <w:name w:val="正文小标题"/>
    <w:basedOn w:val="1"/>
    <w:qFormat/>
    <w:uiPriority w:val="0"/>
    <w:pPr>
      <w:tabs>
        <w:tab w:val="left" w:pos="1140"/>
      </w:tabs>
      <w:overflowPunct w:val="0"/>
      <w:autoSpaceDE w:val="0"/>
      <w:autoSpaceDN w:val="0"/>
      <w:adjustRightInd w:val="0"/>
      <w:spacing w:line="360" w:lineRule="auto"/>
      <w:ind w:left="1140" w:hanging="720"/>
    </w:pPr>
    <w:rPr>
      <w:rFonts w:ascii="仿宋_GB2312" w:hAnsi="Arial"/>
      <w:kern w:val="0"/>
      <w:sz w:val="24"/>
      <w:szCs w:val="20"/>
    </w:rPr>
  </w:style>
  <w:style w:type="paragraph" w:customStyle="1" w:styleId="284">
    <w:name w:val="6'"/>
    <w:basedOn w:val="1"/>
    <w:qFormat/>
    <w:uiPriority w:val="0"/>
    <w:pPr>
      <w:autoSpaceDE w:val="0"/>
      <w:autoSpaceDN w:val="0"/>
      <w:adjustRightInd w:val="0"/>
      <w:snapToGrid w:val="0"/>
      <w:spacing w:line="320" w:lineRule="exact"/>
      <w:jc w:val="center"/>
      <w:textAlignment w:val="baseline"/>
    </w:pPr>
    <w:rPr>
      <w:rFonts w:ascii="Calibri" w:hAnsi="Calibri"/>
      <w:spacing w:val="20"/>
      <w:kern w:val="28"/>
      <w:szCs w:val="20"/>
    </w:rPr>
  </w:style>
  <w:style w:type="paragraph" w:customStyle="1" w:styleId="285">
    <w:name w:val="表格"/>
    <w:basedOn w:val="1"/>
    <w:qFormat/>
    <w:uiPriority w:val="0"/>
    <w:pPr>
      <w:jc w:val="center"/>
      <w:textAlignment w:val="center"/>
    </w:pPr>
    <w:rPr>
      <w:rFonts w:ascii="华文细黑" w:hAnsi="华文细黑"/>
      <w:kern w:val="0"/>
      <w:szCs w:val="20"/>
    </w:rPr>
  </w:style>
  <w:style w:type="paragraph" w:customStyle="1" w:styleId="286">
    <w:name w:val="rw"/>
    <w:basedOn w:val="1"/>
    <w:qFormat/>
    <w:uiPriority w:val="0"/>
    <w:pPr>
      <w:widowControl/>
      <w:spacing w:before="30"/>
      <w:ind w:left="100" w:right="100"/>
      <w:jc w:val="right"/>
    </w:pPr>
    <w:rPr>
      <w:rFonts w:ascii="方正仿宋简体" w:hAnsi="宋体" w:eastAsia="方正仿宋简体"/>
      <w:color w:val="000000"/>
      <w:kern w:val="0"/>
      <w:szCs w:val="21"/>
    </w:rPr>
  </w:style>
  <w:style w:type="character" w:customStyle="1" w:styleId="287">
    <w:name w:val="正文文本缩进 2 字符"/>
    <w:semiHidden/>
    <w:qFormat/>
    <w:uiPriority w:val="99"/>
    <w:rPr>
      <w:rFonts w:ascii="Times New Roman" w:hAnsi="Times New Roman" w:eastAsia="宋体" w:cs="Times New Roman"/>
      <w:kern w:val="2"/>
      <w:sz w:val="21"/>
    </w:rPr>
  </w:style>
  <w:style w:type="paragraph" w:customStyle="1" w:styleId="288">
    <w:name w:val=" Char Char Char Char"/>
    <w:basedOn w:val="17"/>
    <w:qFormat/>
    <w:uiPriority w:val="0"/>
    <w:pPr>
      <w:shd w:val="clear" w:color="auto" w:fill="000080"/>
      <w:spacing w:line="360" w:lineRule="auto"/>
      <w:ind w:firstLine="200" w:firstLineChars="200"/>
    </w:pPr>
    <w:rPr>
      <w:rFonts w:ascii="Times New Roman"/>
      <w:kern w:val="0"/>
      <w:sz w:val="20"/>
      <w:szCs w:val="20"/>
    </w:rPr>
  </w:style>
  <w:style w:type="paragraph" w:customStyle="1" w:styleId="289">
    <w:name w:val="样式"/>
    <w:qFormat/>
    <w:uiPriority w:val="0"/>
    <w:pPr>
      <w:widowControl w:val="0"/>
      <w:autoSpaceDE w:val="0"/>
      <w:autoSpaceDN w:val="0"/>
      <w:adjustRightInd w:val="0"/>
    </w:pPr>
    <w:rPr>
      <w:rFonts w:ascii="宋体" w:hAnsi="宋体" w:eastAsia="宋体" w:cs="Times New Roman"/>
      <w:sz w:val="24"/>
      <w:lang w:val="en-US" w:eastAsia="zh-CN" w:bidi="ar-SA"/>
    </w:rPr>
  </w:style>
  <w:style w:type="paragraph" w:customStyle="1" w:styleId="290">
    <w:name w:val="样式 标题 2 + Times New Roman 四号 非加粗 段前: 5 磅 段后: 0 磅 行距: 固定值 20..."/>
    <w:basedOn w:val="4"/>
    <w:qFormat/>
    <w:uiPriority w:val="0"/>
    <w:pPr>
      <w:keepNext/>
      <w:keepLines/>
      <w:autoSpaceDE/>
      <w:autoSpaceDN/>
      <w:adjustRightInd/>
      <w:snapToGrid/>
      <w:spacing w:before="100" w:line="400" w:lineRule="exact"/>
      <w:jc w:val="both"/>
    </w:pPr>
    <w:rPr>
      <w:rFonts w:ascii="Times New Roman" w:eastAsia="黑体" w:cs="宋体"/>
      <w:b w:val="0"/>
      <w:spacing w:val="0"/>
      <w:w w:val="100"/>
      <w:szCs w:val="20"/>
    </w:rPr>
  </w:style>
  <w:style w:type="character" w:customStyle="1" w:styleId="291">
    <w:name w:val="正文文本缩进 字符"/>
    <w:semiHidden/>
    <w:qFormat/>
    <w:uiPriority w:val="99"/>
    <w:rPr>
      <w:kern w:val="2"/>
      <w:sz w:val="21"/>
      <w:szCs w:val="24"/>
    </w:rPr>
  </w:style>
  <w:style w:type="paragraph" w:customStyle="1" w:styleId="292">
    <w:name w:val="g3"/>
    <w:basedOn w:val="1"/>
    <w:qFormat/>
    <w:uiPriority w:val="0"/>
    <w:pPr>
      <w:widowControl/>
      <w:spacing w:before="100" w:beforeAutospacing="1" w:after="100" w:afterAutospacing="1"/>
      <w:jc w:val="left"/>
    </w:pPr>
    <w:rPr>
      <w:rFonts w:ascii="宋体" w:hAnsi="宋体" w:cs="宋体"/>
      <w:kern w:val="0"/>
      <w:sz w:val="24"/>
    </w:rPr>
  </w:style>
  <w:style w:type="character" w:customStyle="1" w:styleId="293">
    <w:name w:val="HTML 预设格式 字符"/>
    <w:semiHidden/>
    <w:qFormat/>
    <w:uiPriority w:val="99"/>
    <w:rPr>
      <w:rFonts w:ascii="Courier New" w:hAnsi="Courier New" w:cs="Courier New"/>
      <w:kern w:val="2"/>
    </w:rPr>
  </w:style>
  <w:style w:type="paragraph" w:customStyle="1" w:styleId="294">
    <w:name w:val="样式 标题 1 + (西文) 宋体 非加粗 黑色 两端对齐 左侧:  0 厘米 首行缩进:  0.89 厘米"/>
    <w:basedOn w:val="3"/>
    <w:qFormat/>
    <w:uiPriority w:val="0"/>
    <w:pPr>
      <w:keepNext/>
      <w:numPr>
        <w:ilvl w:val="0"/>
        <w:numId w:val="0"/>
      </w:numPr>
      <w:tabs>
        <w:tab w:val="left" w:pos="1140"/>
      </w:tabs>
      <w:autoSpaceDE/>
      <w:autoSpaceDN/>
      <w:ind w:left="1140" w:hanging="720"/>
    </w:pPr>
    <w:rPr>
      <w:rFonts w:ascii="宋体" w:hAnsi="宋体" w:eastAsia="宋体"/>
      <w:b/>
      <w:color w:val="000000"/>
      <w:kern w:val="0"/>
      <w:sz w:val="30"/>
      <w:szCs w:val="30"/>
    </w:rPr>
  </w:style>
  <w:style w:type="paragraph" w:customStyle="1" w:styleId="295">
    <w:name w:val="Char Char Char Char Char2 Char"/>
    <w:basedOn w:val="1"/>
    <w:qFormat/>
    <w:uiPriority w:val="0"/>
    <w:pPr>
      <w:adjustRightInd w:val="0"/>
      <w:snapToGrid w:val="0"/>
      <w:spacing w:line="360" w:lineRule="auto"/>
      <w:ind w:firstLine="200" w:firstLineChars="200"/>
    </w:pPr>
    <w:rPr>
      <w:szCs w:val="20"/>
    </w:rPr>
  </w:style>
  <w:style w:type="paragraph" w:customStyle="1" w:styleId="296">
    <w:name w:val="_Style 293"/>
    <w:basedOn w:val="3"/>
    <w:next w:val="1"/>
    <w:qFormat/>
    <w:uiPriority w:val="0"/>
    <w:pPr>
      <w:keepNext/>
      <w:keepLines/>
      <w:widowControl/>
      <w:numPr>
        <w:ilvl w:val="0"/>
        <w:numId w:val="0"/>
      </w:numPr>
      <w:autoSpaceDE/>
      <w:autoSpaceDN/>
      <w:adjustRightInd/>
      <w:snapToGrid/>
      <w:spacing w:before="480" w:line="276" w:lineRule="auto"/>
      <w:jc w:val="left"/>
      <w:outlineLvl w:val="9"/>
    </w:pPr>
    <w:rPr>
      <w:rFonts w:ascii="Cambria" w:hAnsi="Cambria" w:eastAsia="宋体"/>
      <w:b/>
      <w:color w:val="365F91"/>
      <w:kern w:val="0"/>
      <w:sz w:val="28"/>
      <w:szCs w:val="20"/>
    </w:rPr>
  </w:style>
  <w:style w:type="paragraph" w:styleId="297">
    <w:name w:val="No Spacing"/>
    <w:qFormat/>
    <w:uiPriority w:val="0"/>
    <w:pPr>
      <w:widowControl w:val="0"/>
      <w:snapToGrid w:val="0"/>
      <w:spacing w:line="360" w:lineRule="auto"/>
    </w:pPr>
    <w:rPr>
      <w:rFonts w:ascii="Times New Roman" w:hAnsi="Times New Roman" w:eastAsia="宋体" w:cs="Times New Roman"/>
      <w:snapToGrid w:val="0"/>
      <w:sz w:val="21"/>
      <w:szCs w:val="24"/>
      <w:lang w:val="en-US" w:eastAsia="zh-CN" w:bidi="ar-SA"/>
    </w:rPr>
  </w:style>
  <w:style w:type="paragraph" w:customStyle="1" w:styleId="298">
    <w:name w:val="目录"/>
    <w:basedOn w:val="1"/>
    <w:qFormat/>
    <w:uiPriority w:val="0"/>
    <w:pPr>
      <w:widowControl/>
      <w:jc w:val="center"/>
    </w:pPr>
    <w:rPr>
      <w:rFonts w:ascii="宋体"/>
      <w:b/>
      <w:kern w:val="0"/>
      <w:sz w:val="36"/>
      <w:szCs w:val="20"/>
    </w:rPr>
  </w:style>
  <w:style w:type="paragraph" w:customStyle="1" w:styleId="299">
    <w:name w:val="zw"/>
    <w:basedOn w:val="1"/>
    <w:qFormat/>
    <w:uiPriority w:val="0"/>
    <w:pPr>
      <w:widowControl/>
      <w:spacing w:before="30"/>
      <w:ind w:left="100" w:right="100"/>
    </w:pPr>
    <w:rPr>
      <w:rFonts w:ascii="方正书宋简体" w:hAnsi="宋体" w:eastAsia="方正书宋简体"/>
      <w:color w:val="000000"/>
      <w:kern w:val="0"/>
      <w:szCs w:val="21"/>
    </w:rPr>
  </w:style>
  <w:style w:type="character" w:customStyle="1" w:styleId="300">
    <w:name w:val="正文文本首行缩进 2 字符"/>
    <w:basedOn w:val="291"/>
    <w:semiHidden/>
    <w:qFormat/>
    <w:uiPriority w:val="99"/>
  </w:style>
  <w:style w:type="paragraph" w:customStyle="1" w:styleId="301">
    <w:name w:val="intel1"/>
    <w:basedOn w:val="1"/>
    <w:qFormat/>
    <w:uiPriority w:val="0"/>
    <w:pPr>
      <w:widowControl/>
      <w:spacing w:before="100" w:beforeAutospacing="1" w:after="100" w:afterAutospacing="1"/>
      <w:jc w:val="left"/>
    </w:pPr>
    <w:rPr>
      <w:rFonts w:ascii="宋体" w:hAnsi="宋体" w:cs="宋体"/>
      <w:kern w:val="0"/>
      <w:sz w:val="24"/>
    </w:rPr>
  </w:style>
  <w:style w:type="paragraph" w:customStyle="1" w:styleId="302">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303">
    <w:name w:val="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304">
    <w:name w:val="Char Char Char"/>
    <w:basedOn w:val="1"/>
    <w:qFormat/>
    <w:uiPriority w:val="0"/>
    <w:rPr>
      <w:rFonts w:ascii="Calibri" w:hAnsi="Calibri"/>
    </w:rPr>
  </w:style>
  <w:style w:type="paragraph" w:customStyle="1" w:styleId="305">
    <w:name w:val="Char Char Char Char Char Char"/>
    <w:basedOn w:val="1"/>
    <w:qFormat/>
    <w:uiPriority w:val="0"/>
    <w:rPr>
      <w:rFonts w:ascii="Calibri" w:hAnsi="Calibri"/>
    </w:rPr>
  </w:style>
  <w:style w:type="paragraph" w:customStyle="1" w:styleId="306">
    <w:name w:val=" Char Char30 Char Char"/>
    <w:basedOn w:val="1"/>
    <w:qFormat/>
    <w:uiPriority w:val="0"/>
  </w:style>
  <w:style w:type="paragraph" w:customStyle="1" w:styleId="307">
    <w:name w:val="WW-表格标题"/>
    <w:basedOn w:val="308"/>
    <w:qFormat/>
    <w:uiPriority w:val="0"/>
    <w:rPr>
      <w:rFonts w:ascii="Times New Roman" w:hAnsi="Times New Roman"/>
    </w:rPr>
  </w:style>
  <w:style w:type="paragraph" w:customStyle="1" w:styleId="308">
    <w:name w:val="WW-表格内容"/>
    <w:basedOn w:val="1"/>
    <w:qFormat/>
    <w:uiPriority w:val="0"/>
    <w:pPr>
      <w:suppressLineNumbers/>
      <w:suppressAutoHyphens/>
    </w:pPr>
    <w:rPr>
      <w:rFonts w:ascii="Calibri" w:hAnsi="Calibri"/>
    </w:rPr>
  </w:style>
  <w:style w:type="paragraph" w:customStyle="1" w:styleId="309">
    <w:name w:val="Char Char Char Char Char Char Char"/>
    <w:basedOn w:val="1"/>
    <w:qFormat/>
    <w:uiPriority w:val="0"/>
    <w:rPr>
      <w:rFonts w:ascii="Calibri" w:hAnsi="Calibri"/>
      <w:szCs w:val="20"/>
    </w:rPr>
  </w:style>
  <w:style w:type="character" w:customStyle="1" w:styleId="310">
    <w:name w:val="副标题 字符"/>
    <w:qFormat/>
    <w:uiPriority w:val="11"/>
    <w:rPr>
      <w:rFonts w:ascii="等线 Light" w:hAnsi="等线 Light" w:cs="Times New Roman"/>
      <w:b/>
      <w:bCs/>
      <w:kern w:val="28"/>
      <w:sz w:val="32"/>
      <w:szCs w:val="32"/>
    </w:rPr>
  </w:style>
  <w:style w:type="paragraph" w:customStyle="1" w:styleId="311">
    <w:name w:val="pa-27"/>
    <w:basedOn w:val="1"/>
    <w:qFormat/>
    <w:uiPriority w:val="0"/>
    <w:pPr>
      <w:widowControl/>
      <w:spacing w:line="360" w:lineRule="atLeast"/>
      <w:ind w:firstLine="420"/>
    </w:pPr>
    <w:rPr>
      <w:rFonts w:ascii="宋体" w:hAnsi="宋体" w:cs="宋体"/>
      <w:kern w:val="0"/>
      <w:sz w:val="24"/>
    </w:rPr>
  </w:style>
  <w:style w:type="paragraph" w:customStyle="1" w:styleId="312">
    <w:name w:val=" Char7"/>
    <w:basedOn w:val="1"/>
    <w:qFormat/>
    <w:uiPriority w:val="0"/>
    <w:pPr>
      <w:widowControl/>
      <w:spacing w:after="160" w:line="240" w:lineRule="exact"/>
      <w:jc w:val="left"/>
    </w:pPr>
    <w:rPr>
      <w:szCs w:val="20"/>
    </w:rPr>
  </w:style>
  <w:style w:type="paragraph" w:customStyle="1" w:styleId="313">
    <w:name w:val="CM95"/>
    <w:basedOn w:val="1"/>
    <w:next w:val="1"/>
    <w:qFormat/>
    <w:uiPriority w:val="0"/>
    <w:pPr>
      <w:autoSpaceDE w:val="0"/>
      <w:autoSpaceDN w:val="0"/>
      <w:adjustRightInd w:val="0"/>
      <w:spacing w:after="115"/>
      <w:jc w:val="left"/>
    </w:pPr>
    <w:rPr>
      <w:rFonts w:ascii="宋体"/>
      <w:kern w:val="0"/>
      <w:sz w:val="24"/>
    </w:rPr>
  </w:style>
  <w:style w:type="paragraph" w:customStyle="1" w:styleId="314">
    <w:name w:val="g2"/>
    <w:basedOn w:val="1"/>
    <w:qFormat/>
    <w:uiPriority w:val="0"/>
    <w:pPr>
      <w:widowControl/>
      <w:spacing w:before="100" w:beforeAutospacing="1" w:after="100" w:afterAutospacing="1"/>
      <w:jc w:val="left"/>
    </w:pPr>
    <w:rPr>
      <w:rFonts w:ascii="仿宋_GB2312" w:hAnsi="宋体" w:eastAsia="仿宋_GB2312" w:cs="宋体"/>
      <w:kern w:val="0"/>
      <w:sz w:val="17"/>
      <w:szCs w:val="17"/>
    </w:rPr>
  </w:style>
  <w:style w:type="paragraph" w:customStyle="1" w:styleId="315">
    <w:name w:val="标题1"/>
    <w:basedOn w:val="1"/>
    <w:qFormat/>
    <w:uiPriority w:val="0"/>
    <w:pPr>
      <w:widowControl/>
      <w:spacing w:before="100" w:beforeAutospacing="1" w:after="100" w:afterAutospacing="1"/>
      <w:jc w:val="left"/>
    </w:pPr>
    <w:rPr>
      <w:rFonts w:ascii="宋体" w:hAnsi="宋体" w:cs="宋体"/>
      <w:kern w:val="0"/>
      <w:sz w:val="24"/>
    </w:rPr>
  </w:style>
  <w:style w:type="paragraph" w:customStyle="1" w:styleId="316">
    <w:name w:val="Char1"/>
    <w:basedOn w:val="1"/>
    <w:qFormat/>
    <w:uiPriority w:val="0"/>
    <w:pPr>
      <w:spacing w:beforeLines="50" w:afterLines="50"/>
    </w:pPr>
    <w:rPr>
      <w:rFonts w:ascii="Tahoma" w:hAnsi="Tahoma"/>
      <w:sz w:val="24"/>
      <w:szCs w:val="20"/>
    </w:rPr>
  </w:style>
  <w:style w:type="character" w:customStyle="1" w:styleId="317">
    <w:name w:val="引用 字符"/>
    <w:qFormat/>
    <w:uiPriority w:val="29"/>
    <w:rPr>
      <w:i/>
      <w:iCs/>
      <w:color w:val="404040"/>
      <w:kern w:val="2"/>
      <w:sz w:val="21"/>
      <w:szCs w:val="24"/>
    </w:rPr>
  </w:style>
  <w:style w:type="character" w:customStyle="1" w:styleId="318">
    <w:name w:val="明显引用 字符"/>
    <w:qFormat/>
    <w:uiPriority w:val="30"/>
    <w:rPr>
      <w:i/>
      <w:iCs/>
      <w:color w:val="4472C4"/>
      <w:kern w:val="2"/>
      <w:sz w:val="21"/>
      <w:szCs w:val="24"/>
    </w:rPr>
  </w:style>
  <w:style w:type="paragraph" w:customStyle="1" w:styleId="319">
    <w:name w:val="ly"/>
    <w:basedOn w:val="1"/>
    <w:qFormat/>
    <w:uiPriority w:val="0"/>
    <w:pPr>
      <w:widowControl/>
      <w:spacing w:before="30"/>
      <w:jc w:val="right"/>
    </w:pPr>
    <w:rPr>
      <w:rFonts w:ascii="方正书宋简体" w:hAnsi="宋体" w:eastAsia="方正书宋简体"/>
      <w:color w:val="000000"/>
      <w:kern w:val="0"/>
      <w:szCs w:val="21"/>
    </w:rPr>
  </w:style>
  <w:style w:type="paragraph" w:customStyle="1" w:styleId="320">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321">
    <w:name w:val="_Style 319"/>
    <w:qFormat/>
    <w:uiPriority w:val="0"/>
    <w:rPr>
      <w:rFonts w:ascii="Times New Roman" w:hAnsi="Times New Roman" w:eastAsia="宋体" w:cs="Times New Roman"/>
      <w:kern w:val="2"/>
      <w:sz w:val="21"/>
      <w:lang w:val="en-US" w:eastAsia="zh-CN" w:bidi="ar-SA"/>
    </w:rPr>
  </w:style>
  <w:style w:type="paragraph" w:customStyle="1" w:styleId="322">
    <w:name w:val="Char Char9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23">
    <w:name w:val="样式2"/>
    <w:basedOn w:val="4"/>
    <w:qFormat/>
    <w:uiPriority w:val="0"/>
    <w:pPr>
      <w:keepNext/>
      <w:keepLines/>
      <w:snapToGrid/>
      <w:spacing w:before="260" w:after="260" w:line="300" w:lineRule="exact"/>
      <w:ind w:left="220" w:right="-20"/>
      <w:jc w:val="center"/>
    </w:pPr>
    <w:rPr>
      <w:rFonts w:ascii="宋体" w:hAnsi="宋体" w:eastAsia="宋体" w:cs="Times New Roman"/>
      <w:bCs/>
      <w:spacing w:val="0"/>
      <w:szCs w:val="28"/>
    </w:rPr>
  </w:style>
  <w:style w:type="paragraph" w:customStyle="1" w:styleId="324">
    <w:name w:val="默认段落字体 Para Char Char Char Char Char Char Char Char Char Char Char Char Char"/>
    <w:basedOn w:val="1"/>
    <w:qFormat/>
    <w:uiPriority w:val="0"/>
  </w:style>
  <w:style w:type="paragraph" w:customStyle="1" w:styleId="325">
    <w:name w:val="样式 标题 3 + (中文) 黑体 小四 非加粗 段前: 7.8 磅 段后: 0 磅 行距: 固定值 20 磅"/>
    <w:basedOn w:val="5"/>
    <w:qFormat/>
    <w:uiPriority w:val="0"/>
    <w:pPr>
      <w:keepNext/>
      <w:keepLines/>
      <w:autoSpaceDE/>
      <w:autoSpaceDN/>
      <w:adjustRightInd/>
      <w:spacing w:before="0" w:line="400" w:lineRule="exact"/>
      <w:jc w:val="both"/>
    </w:pPr>
    <w:rPr>
      <w:rFonts w:ascii="Times New Roman" w:eastAsia="黑体" w:cs="宋体"/>
      <w:b w:val="0"/>
      <w:bCs/>
      <w:kern w:val="2"/>
      <w:szCs w:val="20"/>
    </w:rPr>
  </w:style>
  <w:style w:type="paragraph" w:customStyle="1" w:styleId="326">
    <w:name w:val="表格标题"/>
    <w:basedOn w:val="275"/>
    <w:qFormat/>
    <w:uiPriority w:val="0"/>
    <w:rPr>
      <w:rFonts w:ascii="Times New Roman" w:hAnsi="Times New Roman"/>
    </w:rPr>
  </w:style>
  <w:style w:type="paragraph" w:customStyle="1" w:styleId="327">
    <w:name w:val="Char Char Char1 Char"/>
    <w:basedOn w:val="1"/>
    <w:qFormat/>
    <w:uiPriority w:val="0"/>
    <w:rPr>
      <w:rFonts w:ascii="Calibri" w:hAnsi="Calibri"/>
    </w:rPr>
  </w:style>
  <w:style w:type="paragraph" w:customStyle="1" w:styleId="328">
    <w:name w:val="样式1"/>
    <w:basedOn w:val="3"/>
    <w:qFormat/>
    <w:uiPriority w:val="0"/>
    <w:pPr>
      <w:keepNext/>
      <w:keepLines/>
      <w:numPr>
        <w:ilvl w:val="0"/>
        <w:numId w:val="0"/>
      </w:numPr>
      <w:snapToGrid/>
      <w:spacing w:before="340" w:after="330" w:line="340" w:lineRule="exact"/>
      <w:ind w:right="-20"/>
    </w:pPr>
    <w:rPr>
      <w:rFonts w:ascii="宋体" w:hAnsi="宋体" w:eastAsia="仿宋_GB2312"/>
      <w:b/>
      <w:bCs/>
      <w:kern w:val="0"/>
      <w:sz w:val="32"/>
      <w:szCs w:val="32"/>
    </w:rPr>
  </w:style>
  <w:style w:type="paragraph" w:customStyle="1" w:styleId="329">
    <w:name w:val="zz"/>
    <w:basedOn w:val="1"/>
    <w:qFormat/>
    <w:uiPriority w:val="0"/>
    <w:pPr>
      <w:widowControl/>
      <w:spacing w:before="30"/>
      <w:jc w:val="right"/>
    </w:pPr>
    <w:rPr>
      <w:rFonts w:ascii="方正书宋简体" w:hAnsi="宋体" w:eastAsia="方正书宋简体"/>
      <w:color w:val="000000"/>
      <w:kern w:val="0"/>
      <w:szCs w:val="21"/>
    </w:rPr>
  </w:style>
  <w:style w:type="paragraph" w:customStyle="1" w:styleId="330">
    <w:name w:val="mtitle"/>
    <w:basedOn w:val="1"/>
    <w:qFormat/>
    <w:uiPriority w:val="0"/>
    <w:pPr>
      <w:widowControl/>
      <w:spacing w:before="30"/>
      <w:jc w:val="center"/>
    </w:pPr>
    <w:rPr>
      <w:rFonts w:ascii="方正小标宋简体" w:hAnsi="宋体" w:eastAsia="方正小标宋简体"/>
      <w:color w:val="000000"/>
      <w:kern w:val="0"/>
      <w:sz w:val="44"/>
      <w:szCs w:val="44"/>
    </w:rPr>
  </w:style>
  <w:style w:type="paragraph" w:customStyle="1" w:styleId="331">
    <w:name w:val="样式 标题 1 + 黑体 三号 非加粗 居中 段前: 6 磅 段后: 6 磅 行距: 固定值 20 磅"/>
    <w:basedOn w:val="3"/>
    <w:qFormat/>
    <w:uiPriority w:val="0"/>
    <w:pPr>
      <w:keepNext/>
      <w:keepLines/>
      <w:numPr>
        <w:ilvl w:val="0"/>
        <w:numId w:val="0"/>
      </w:numPr>
      <w:autoSpaceDE/>
      <w:autoSpaceDN/>
      <w:adjustRightInd/>
      <w:snapToGrid/>
      <w:spacing w:before="120" w:after="120" w:line="400" w:lineRule="exact"/>
    </w:pPr>
    <w:rPr>
      <w:rFonts w:ascii="黑体" w:hAnsi="黑体" w:eastAsia="宋体" w:cs="宋体"/>
      <w:kern w:val="44"/>
      <w:sz w:val="32"/>
      <w:szCs w:val="20"/>
    </w:rPr>
  </w:style>
  <w:style w:type="paragraph" w:customStyle="1" w:styleId="332">
    <w:name w:val=" Char"/>
    <w:basedOn w:val="17"/>
    <w:qFormat/>
    <w:uiPriority w:val="0"/>
    <w:pPr>
      <w:shd w:val="clear" w:color="auto" w:fill="000080"/>
      <w:spacing w:line="360" w:lineRule="auto"/>
      <w:ind w:firstLine="200" w:firstLineChars="200"/>
    </w:pPr>
    <w:rPr>
      <w:rFonts w:ascii="Times New Roman"/>
      <w:kern w:val="0"/>
      <w:szCs w:val="20"/>
    </w:rPr>
  </w:style>
  <w:style w:type="paragraph" w:customStyle="1" w:styleId="333">
    <w:name w:val="Char Char1 Char Char Char Char Char Char Char"/>
    <w:basedOn w:val="1"/>
    <w:qFormat/>
    <w:uiPriority w:val="0"/>
    <w:pPr>
      <w:pageBreakBefore/>
    </w:pPr>
    <w:rPr>
      <w:szCs w:val="20"/>
    </w:rPr>
  </w:style>
  <w:style w:type="paragraph" w:customStyle="1" w:styleId="334">
    <w:name w:val="g11"/>
    <w:basedOn w:val="1"/>
    <w:qFormat/>
    <w:uiPriority w:val="0"/>
    <w:pPr>
      <w:widowControl/>
      <w:spacing w:before="100" w:beforeAutospacing="1" w:after="100" w:afterAutospacing="1" w:line="465" w:lineRule="atLeast"/>
      <w:jc w:val="left"/>
    </w:pPr>
    <w:rPr>
      <w:rFonts w:ascii="华文中宋" w:hAnsi="华文中宋" w:eastAsia="华文中宋" w:cs="宋体"/>
      <w:b/>
      <w:bCs/>
      <w:color w:val="FF0000"/>
      <w:kern w:val="0"/>
      <w:sz w:val="31"/>
      <w:szCs w:val="31"/>
    </w:rPr>
  </w:style>
  <w:style w:type="paragraph" w:customStyle="1" w:styleId="335">
    <w:name w:val="Normal_139"/>
    <w:qFormat/>
    <w:uiPriority w:val="0"/>
    <w:pPr>
      <w:spacing w:before="120" w:after="240"/>
      <w:jc w:val="both"/>
    </w:pPr>
    <w:rPr>
      <w:rFonts w:ascii="Times New Roman" w:hAnsi="Times New Roman" w:eastAsia="Calibri" w:cs="Times New Roman"/>
      <w:sz w:val="22"/>
      <w:szCs w:val="22"/>
      <w:lang w:val="en-US" w:eastAsia="en-US" w:bidi="ar-SA"/>
    </w:rPr>
  </w:style>
  <w:style w:type="paragraph" w:customStyle="1" w:styleId="336">
    <w:name w:val="2"/>
    <w:basedOn w:val="21"/>
    <w:next w:val="52"/>
    <w:link w:val="337"/>
    <w:qFormat/>
    <w:uiPriority w:val="0"/>
    <w:pPr>
      <w:spacing w:after="120"/>
      <w:ind w:firstLine="420" w:firstLineChars="100"/>
    </w:pPr>
    <w:rPr>
      <w:sz w:val="21"/>
      <w:szCs w:val="20"/>
    </w:rPr>
  </w:style>
  <w:style w:type="character" w:customStyle="1" w:styleId="337">
    <w:name w:val="正文首行缩进 Char"/>
    <w:link w:val="336"/>
    <w:qFormat/>
    <w:uiPriority w:val="0"/>
    <w:rPr>
      <w:kern w:val="2"/>
      <w:sz w:val="21"/>
    </w:rPr>
  </w:style>
  <w:style w:type="paragraph" w:customStyle="1" w:styleId="338">
    <w:name w:val="小标题"/>
    <w:basedOn w:val="105"/>
    <w:next w:val="105"/>
    <w:qFormat/>
    <w:uiPriority w:val="0"/>
    <w:pPr>
      <w:spacing w:line="480" w:lineRule="exact"/>
      <w:ind w:firstLine="0" w:firstLineChars="0"/>
      <w:outlineLvl w:val="2"/>
    </w:pPr>
    <w:rPr>
      <w:rFonts w:ascii="Times New Roman"/>
      <w:color w:val="000000"/>
      <w:kern w:val="0"/>
      <w:sz w:val="20"/>
      <w:shd w:val="clear" w:color="auto" w:fill="FFFFFF"/>
    </w:rPr>
  </w:style>
  <w:style w:type="paragraph" w:customStyle="1" w:styleId="339">
    <w:name w:val="part2"/>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340">
    <w:name w:val="招标节"/>
    <w:basedOn w:val="1"/>
    <w:next w:val="338"/>
    <w:qFormat/>
    <w:uiPriority w:val="0"/>
    <w:pPr>
      <w:spacing w:beforeLines="50" w:afterLines="50"/>
      <w:outlineLvl w:val="1"/>
    </w:pPr>
    <w:rPr>
      <w:b/>
      <w:kern w:val="0"/>
      <w:sz w:val="24"/>
      <w:szCs w:val="20"/>
    </w:rPr>
  </w:style>
  <w:style w:type="paragraph" w:customStyle="1" w:styleId="341">
    <w:name w:val="附件"/>
    <w:basedOn w:val="340"/>
    <w:qFormat/>
    <w:uiPriority w:val="0"/>
    <w:pPr>
      <w:spacing w:beforeLines="0" w:afterLines="0"/>
    </w:pPr>
    <w:rPr>
      <w:rFonts w:eastAsia="黑体"/>
      <w:szCs w:val="28"/>
    </w:rPr>
  </w:style>
  <w:style w:type="character" w:customStyle="1" w:styleId="342">
    <w:name w:val="_Style 340"/>
    <w:unhideWhenUsed/>
    <w:qFormat/>
    <w:uiPriority w:val="99"/>
    <w:rPr>
      <w:rFonts w:ascii="Times New Roman" w:hAnsi="Times New Roman" w:eastAsia="宋体" w:cs="Times New Roman"/>
      <w:color w:val="605E5C"/>
      <w:shd w:val="clear" w:color="auto" w:fill="E1DFDD"/>
    </w:rPr>
  </w:style>
  <w:style w:type="paragraph" w:customStyle="1" w:styleId="343">
    <w:name w:val="正文（缩进）"/>
    <w:basedOn w:val="1"/>
    <w:qFormat/>
    <w:uiPriority w:val="0"/>
    <w:pPr>
      <w:widowControl/>
      <w:spacing w:before="156" w:after="156" w:line="360" w:lineRule="auto"/>
      <w:ind w:firstLine="200" w:firstLineChars="200"/>
      <w:textAlignment w:val="baseline"/>
    </w:pPr>
    <w:rPr>
      <w:rFonts w:ascii="Calibri" w:hAnsi="Calibri"/>
      <w:sz w:val="24"/>
    </w:rPr>
  </w:style>
  <w:style w:type="paragraph" w:customStyle="1" w:styleId="344">
    <w:name w:val="列出段落1"/>
    <w:basedOn w:val="1"/>
    <w:qFormat/>
    <w:uiPriority w:val="0"/>
    <w:pPr>
      <w:widowControl/>
      <w:ind w:firstLine="420" w:firstLineChars="200"/>
      <w:textAlignment w:val="baseline"/>
    </w:pPr>
    <w:rPr>
      <w:rFonts w:ascii="Calibri" w:hAnsi="Calibri"/>
      <w:sz w:val="28"/>
      <w:szCs w:val="28"/>
    </w:rPr>
  </w:style>
  <w:style w:type="paragraph" w:customStyle="1" w:styleId="345">
    <w:name w:val="列出段落11"/>
    <w:basedOn w:val="1"/>
    <w:qFormat/>
    <w:uiPriority w:val="0"/>
    <w:pPr>
      <w:ind w:firstLine="420" w:firstLineChars="200"/>
    </w:pPr>
    <w:rPr>
      <w:sz w:val="28"/>
      <w:szCs w:val="28"/>
    </w:rPr>
  </w:style>
  <w:style w:type="paragraph" w:customStyle="1" w:styleId="346">
    <w:name w:val="520"/>
    <w:qFormat/>
    <w:uiPriority w:val="0"/>
    <w:pPr>
      <w:spacing w:line="360" w:lineRule="auto"/>
    </w:pPr>
    <w:rPr>
      <w:rFonts w:ascii="宋体" w:hAnsi="宋体" w:eastAsia="仿宋_GB2312" w:cs="Times New Roman"/>
      <w:b/>
      <w:kern w:val="2"/>
      <w:sz w:val="30"/>
      <w:szCs w:val="30"/>
      <w:lang w:val="en-US" w:eastAsia="zh-CN" w:bidi="ar-SA"/>
    </w:rPr>
  </w:style>
  <w:style w:type="paragraph" w:customStyle="1" w:styleId="347">
    <w:name w:val="自由格式"/>
    <w:qFormat/>
    <w:uiPriority w:val="0"/>
    <w:rPr>
      <w:rFonts w:ascii="Times New Roman" w:hAnsi="Times New Roman" w:eastAsia="ヒラギノ角ゴ Pro W3" w:cs="Times New Roman"/>
      <w:color w:val="000000"/>
      <w:lang w:val="en-US" w:eastAsia="zh-CN" w:bidi="ar-SA"/>
    </w:rPr>
  </w:style>
  <w:style w:type="character" w:customStyle="1" w:styleId="348">
    <w:name w:val="font01"/>
    <w:basedOn w:val="56"/>
    <w:qFormat/>
    <w:uiPriority w:val="0"/>
    <w:rPr>
      <w:rFonts w:hint="eastAsia" w:ascii="宋体" w:hAnsi="宋体" w:eastAsia="宋体" w:cs="宋体"/>
      <w:color w:val="000000"/>
      <w:sz w:val="22"/>
      <w:szCs w:val="22"/>
      <w:u w:val="none"/>
    </w:rPr>
  </w:style>
  <w:style w:type="character" w:customStyle="1" w:styleId="349">
    <w:name w:val="font101"/>
    <w:basedOn w:val="56"/>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37621</Words>
  <Characters>39746</Characters>
  <Lines>220</Lines>
  <Paragraphs>62</Paragraphs>
  <TotalTime>2</TotalTime>
  <ScaleCrop>false</ScaleCrop>
  <LinksUpToDate>false</LinksUpToDate>
  <CharactersWithSpaces>44225</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2017-02-17T13:39:00Z</dcterms:created>
  <dc:creator>微软用户</dc:creator>
  <cp:lastModifiedBy>吴安峰</cp:lastModifiedBy>
  <cp:lastPrinted>2024-03-11T04:27:00Z</cp:lastPrinted>
  <dcterms:modified xsi:type="dcterms:W3CDTF">2025-12-18T10:53:33Z</dcterms:modified>
  <dc:title>罗家村云头岩至张金山公路硬化工程（比选文件）</dc:title>
  <cp:revision>372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77196EE85C874E6E809D801CE72923B4</vt:lpwstr>
  </property>
  <property fmtid="{D5CDD505-2E9C-101B-9397-08002B2CF9AE}" pid="4" name="commondata">
    <vt:lpwstr>eyJoZGlkIjoiZWMwNmM2ZTdiYjA3MWE1MWUzMTY3ODgwMzkwZmNhNjAifQ==</vt:lpwstr>
  </property>
</Properties>
</file>