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仿宋" w:hAnsi="仿宋" w:eastAsia="仿宋" w:cs="仿宋"/>
          <w:color w:val="auto"/>
          <w:sz w:val="28"/>
          <w:szCs w:val="20"/>
          <w:highlight w:val="none"/>
          <w:lang w:val="en-US" w:eastAsia="zh-CN"/>
        </w:rPr>
      </w:pPr>
      <w:r>
        <w:rPr>
          <w:rFonts w:hint="eastAsia" w:ascii="仿宋" w:hAnsi="仿宋" w:eastAsia="仿宋" w:cs="仿宋"/>
          <w:color w:val="auto"/>
          <w:sz w:val="28"/>
          <w:szCs w:val="20"/>
          <w:highlight w:val="none"/>
          <w:lang w:eastAsia="zh-CN"/>
        </w:rPr>
        <w:t>重庆市</w:t>
      </w:r>
      <w:r>
        <w:rPr>
          <w:rFonts w:hint="eastAsia" w:ascii="仿宋" w:hAnsi="仿宋" w:eastAsia="仿宋" w:cs="仿宋"/>
          <w:color w:val="auto"/>
          <w:sz w:val="28"/>
          <w:szCs w:val="20"/>
          <w:highlight w:val="none"/>
          <w:lang w:val="en-US" w:eastAsia="zh-CN"/>
        </w:rPr>
        <w:t>主城区</w:t>
      </w:r>
      <w:r>
        <w:rPr>
          <w:rFonts w:hint="eastAsia" w:ascii="仿宋" w:hAnsi="仿宋" w:eastAsia="仿宋" w:cs="仿宋"/>
          <w:color w:val="auto"/>
          <w:sz w:val="28"/>
          <w:szCs w:val="20"/>
          <w:highlight w:val="none"/>
          <w:lang w:eastAsia="zh-CN"/>
        </w:rPr>
        <w:t>“两江四岸”夜市“开灯仪式”</w:t>
      </w:r>
      <w:r>
        <w:rPr>
          <w:rFonts w:hint="eastAsia" w:ascii="仿宋" w:hAnsi="仿宋" w:eastAsia="仿宋" w:cs="仿宋"/>
          <w:color w:val="auto"/>
          <w:sz w:val="28"/>
          <w:szCs w:val="20"/>
          <w:highlight w:val="none"/>
          <w:lang w:val="en-US" w:eastAsia="zh-CN"/>
        </w:rPr>
        <w:t>南岸区</w:t>
      </w:r>
      <w:r>
        <w:rPr>
          <w:rFonts w:hint="eastAsia" w:ascii="仿宋" w:hAnsi="仿宋" w:eastAsia="仿宋" w:cs="仿宋"/>
          <w:color w:val="auto"/>
          <w:sz w:val="28"/>
          <w:szCs w:val="20"/>
          <w:highlight w:val="none"/>
          <w:lang w:eastAsia="zh-CN"/>
        </w:rPr>
        <w:t>项目</w:t>
      </w:r>
      <w:r>
        <w:rPr>
          <w:rFonts w:hint="eastAsia" w:ascii="仿宋" w:hAnsi="仿宋" w:eastAsia="仿宋" w:cs="仿宋"/>
          <w:color w:val="auto"/>
          <w:sz w:val="28"/>
          <w:szCs w:val="20"/>
          <w:highlight w:val="none"/>
          <w:lang w:val="en-US" w:eastAsia="zh-CN"/>
        </w:rPr>
        <w:t>景观灯饰</w:t>
      </w:r>
    </w:p>
    <w:p>
      <w:pPr>
        <w:spacing w:line="440" w:lineRule="exact"/>
        <w:jc w:val="center"/>
        <w:rPr>
          <w:rFonts w:hint="default" w:ascii="仿宋" w:hAnsi="仿宋" w:eastAsia="仿宋" w:cs="仿宋"/>
          <w:color w:val="auto"/>
          <w:sz w:val="28"/>
          <w:szCs w:val="20"/>
          <w:highlight w:val="none"/>
          <w:lang w:val="en-US" w:eastAsia="zh-CN"/>
        </w:rPr>
      </w:pPr>
      <w:r>
        <w:rPr>
          <w:rFonts w:hint="eastAsia" w:ascii="仿宋" w:hAnsi="仿宋" w:eastAsia="仿宋" w:cs="仿宋"/>
          <w:color w:val="auto"/>
          <w:sz w:val="28"/>
          <w:szCs w:val="20"/>
          <w:highlight w:val="none"/>
          <w:lang w:val="en-US" w:eastAsia="zh-CN"/>
        </w:rPr>
        <w:t>2026年度上半年日常维护管理项目合同</w:t>
      </w:r>
    </w:p>
    <w:p>
      <w:pPr>
        <w:pStyle w:val="6"/>
        <w:rPr>
          <w:rFonts w:hint="default"/>
          <w:lang w:val="en-US"/>
        </w:rPr>
      </w:pPr>
    </w:p>
    <w:p>
      <w:pPr>
        <w:spacing w:line="440" w:lineRule="exact"/>
        <w:rPr>
          <w:rFonts w:ascii="仿宋" w:hAnsi="仿宋" w:eastAsia="仿宋" w:cs="仿宋"/>
          <w:color w:val="auto"/>
          <w:sz w:val="28"/>
          <w:szCs w:val="20"/>
          <w:highlight w:val="none"/>
        </w:rPr>
      </w:pPr>
      <w:r>
        <w:rPr>
          <w:rFonts w:hint="eastAsia" w:ascii="仿宋" w:hAnsi="仿宋" w:eastAsia="仿宋" w:cs="仿宋"/>
          <w:color w:val="auto"/>
          <w:sz w:val="28"/>
          <w:szCs w:val="28"/>
          <w:highlight w:val="none"/>
        </w:rPr>
        <w:t>甲方：</w:t>
      </w:r>
      <w:r>
        <w:rPr>
          <w:rFonts w:hint="eastAsia" w:ascii="仿宋" w:hAnsi="仿宋" w:eastAsia="仿宋" w:cs="仿宋"/>
          <w:color w:val="auto"/>
          <w:sz w:val="28"/>
          <w:szCs w:val="28"/>
          <w:highlight w:val="none"/>
          <w:u w:val="single"/>
        </w:rPr>
        <w:t xml:space="preserve">  重庆</w:t>
      </w:r>
      <w:r>
        <w:rPr>
          <w:rFonts w:hint="eastAsia" w:ascii="仿宋" w:hAnsi="仿宋" w:eastAsia="仿宋" w:cs="仿宋"/>
          <w:color w:val="auto"/>
          <w:sz w:val="28"/>
          <w:szCs w:val="28"/>
          <w:highlight w:val="none"/>
          <w:u w:val="single"/>
          <w:lang w:val="en-US" w:eastAsia="zh-CN"/>
        </w:rPr>
        <w:t>山水城文化旅游发展有限公司</w:t>
      </w:r>
      <w:r>
        <w:rPr>
          <w:rFonts w:hint="eastAsia" w:ascii="仿宋" w:hAnsi="仿宋" w:eastAsia="仿宋" w:cs="仿宋"/>
          <w:color w:val="auto"/>
          <w:sz w:val="28"/>
          <w:szCs w:val="28"/>
          <w:highlight w:val="none"/>
          <w:u w:val="single"/>
        </w:rPr>
        <w:t xml:space="preserve"> </w:t>
      </w:r>
    </w:p>
    <w:p>
      <w:pPr>
        <w:spacing w:line="440" w:lineRule="exact"/>
        <w:rPr>
          <w:rFonts w:hint="default" w:ascii="仿宋" w:hAnsi="仿宋" w:eastAsia="仿宋" w:cs="仿宋"/>
          <w:color w:val="auto"/>
          <w:sz w:val="28"/>
          <w:szCs w:val="20"/>
          <w:highlight w:val="none"/>
          <w:lang w:val="en-US" w:eastAsia="zh-CN"/>
        </w:rPr>
      </w:pPr>
      <w:r>
        <w:rPr>
          <w:rFonts w:hint="eastAsia" w:ascii="仿宋" w:hAnsi="仿宋" w:eastAsia="仿宋" w:cs="仿宋"/>
          <w:color w:val="auto"/>
          <w:sz w:val="28"/>
          <w:szCs w:val="20"/>
          <w:highlight w:val="none"/>
        </w:rPr>
        <w:t>乙方：</w:t>
      </w:r>
      <w:r>
        <w:rPr>
          <w:rFonts w:hint="eastAsia" w:ascii="仿宋" w:hAnsi="仿宋" w:eastAsia="仿宋" w:cs="仿宋"/>
          <w:color w:val="auto"/>
          <w:sz w:val="28"/>
          <w:szCs w:val="20"/>
          <w:highlight w:val="none"/>
          <w:u w:val="single"/>
        </w:rPr>
        <w:t xml:space="preserve">  </w:t>
      </w:r>
      <w:r>
        <w:rPr>
          <w:rFonts w:hint="eastAsia" w:ascii="仿宋" w:hAnsi="仿宋" w:eastAsia="仿宋" w:cs="仿宋"/>
          <w:color w:val="auto"/>
          <w:sz w:val="28"/>
          <w:szCs w:val="20"/>
          <w:highlight w:val="none"/>
          <w:u w:val="single"/>
          <w:lang w:val="en-US" w:eastAsia="zh-CN"/>
        </w:rPr>
        <w:t xml:space="preserve">                          </w:t>
      </w:r>
      <w:r>
        <w:rPr>
          <w:rFonts w:hint="eastAsia" w:ascii="仿宋" w:hAnsi="仿宋" w:eastAsia="仿宋" w:cs="仿宋"/>
          <w:color w:val="auto"/>
          <w:sz w:val="28"/>
          <w:szCs w:val="20"/>
          <w:highlight w:val="none"/>
          <w:u w:val="single"/>
        </w:rPr>
        <w:t xml:space="preserve">     </w:t>
      </w:r>
    </w:p>
    <w:p>
      <w:pPr>
        <w:spacing w:line="440" w:lineRule="exact"/>
        <w:ind w:firstLine="560" w:firstLineChars="200"/>
        <w:rPr>
          <w:rFonts w:hint="eastAsia" w:ascii="仿宋" w:hAnsi="仿宋" w:eastAsia="仿宋" w:cs="仿宋"/>
          <w:color w:val="auto"/>
          <w:sz w:val="28"/>
          <w:szCs w:val="20"/>
          <w:highlight w:val="none"/>
        </w:rPr>
      </w:pP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根据《中华人民共和国民法典》及有关规定，经甲、乙双方平等协商，就乙方实施</w:t>
      </w:r>
      <w:r>
        <w:rPr>
          <w:rFonts w:hint="eastAsia" w:ascii="仿宋" w:hAnsi="仿宋" w:eastAsia="仿宋" w:cs="仿宋"/>
          <w:color w:val="auto"/>
          <w:sz w:val="28"/>
          <w:szCs w:val="20"/>
          <w:highlight w:val="none"/>
          <w:lang w:eastAsia="zh-CN"/>
        </w:rPr>
        <w:t>重庆市</w:t>
      </w:r>
      <w:r>
        <w:rPr>
          <w:rFonts w:hint="eastAsia" w:ascii="仿宋" w:hAnsi="仿宋" w:eastAsia="仿宋" w:cs="仿宋"/>
          <w:color w:val="auto"/>
          <w:sz w:val="28"/>
          <w:szCs w:val="20"/>
          <w:highlight w:val="none"/>
          <w:lang w:val="en-US" w:eastAsia="zh-CN"/>
        </w:rPr>
        <w:t>主城区</w:t>
      </w:r>
      <w:r>
        <w:rPr>
          <w:rFonts w:hint="eastAsia" w:ascii="仿宋" w:hAnsi="仿宋" w:eastAsia="仿宋" w:cs="仿宋"/>
          <w:color w:val="auto"/>
          <w:sz w:val="28"/>
          <w:szCs w:val="20"/>
          <w:highlight w:val="none"/>
          <w:lang w:eastAsia="zh-CN"/>
        </w:rPr>
        <w:t>“两江四岸”夜市“开灯仪式”</w:t>
      </w:r>
      <w:r>
        <w:rPr>
          <w:rFonts w:hint="eastAsia" w:ascii="仿宋" w:hAnsi="仿宋" w:eastAsia="仿宋" w:cs="仿宋"/>
          <w:color w:val="auto"/>
          <w:sz w:val="28"/>
          <w:szCs w:val="20"/>
          <w:highlight w:val="none"/>
          <w:lang w:val="en-US" w:eastAsia="zh-CN"/>
        </w:rPr>
        <w:t>南岸区</w:t>
      </w:r>
      <w:r>
        <w:rPr>
          <w:rFonts w:hint="eastAsia" w:ascii="仿宋" w:hAnsi="仿宋" w:eastAsia="仿宋" w:cs="仿宋"/>
          <w:color w:val="auto"/>
          <w:sz w:val="28"/>
          <w:szCs w:val="20"/>
          <w:highlight w:val="none"/>
          <w:lang w:eastAsia="zh-CN"/>
        </w:rPr>
        <w:t>项目</w:t>
      </w:r>
      <w:r>
        <w:rPr>
          <w:rFonts w:hint="eastAsia" w:ascii="仿宋" w:hAnsi="仿宋" w:eastAsia="仿宋" w:cs="仿宋"/>
          <w:color w:val="auto"/>
          <w:sz w:val="28"/>
          <w:szCs w:val="20"/>
          <w:highlight w:val="none"/>
          <w:lang w:val="en-US" w:eastAsia="zh-CN"/>
        </w:rPr>
        <w:t>景观灯饰维护管理项目合同</w:t>
      </w:r>
      <w:r>
        <w:rPr>
          <w:rFonts w:hint="eastAsia" w:ascii="仿宋" w:hAnsi="仿宋" w:eastAsia="仿宋" w:cs="仿宋"/>
          <w:color w:val="auto"/>
          <w:sz w:val="28"/>
          <w:szCs w:val="20"/>
          <w:highlight w:val="none"/>
        </w:rPr>
        <w:t>，特订立本合同。</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一、日常管护基本情况</w:t>
      </w:r>
    </w:p>
    <w:p>
      <w:pPr>
        <w:spacing w:line="440" w:lineRule="exact"/>
        <w:ind w:firstLine="560" w:firstLineChars="200"/>
        <w:rPr>
          <w:rFonts w:hint="default" w:ascii="仿宋" w:hAnsi="仿宋" w:eastAsia="仿宋" w:cs="仿宋"/>
          <w:color w:val="auto"/>
          <w:sz w:val="28"/>
          <w:szCs w:val="20"/>
          <w:highlight w:val="none"/>
          <w:lang w:val="en-US" w:eastAsia="zh-CN"/>
        </w:rPr>
      </w:pPr>
      <w:r>
        <w:rPr>
          <w:rFonts w:hint="eastAsia" w:ascii="仿宋" w:hAnsi="仿宋" w:eastAsia="仿宋" w:cs="仿宋"/>
          <w:color w:val="auto"/>
          <w:sz w:val="28"/>
          <w:szCs w:val="20"/>
          <w:highlight w:val="none"/>
        </w:rPr>
        <w:t>（一）合同范围</w:t>
      </w:r>
      <w:r>
        <w:rPr>
          <w:rFonts w:hint="eastAsia" w:ascii="仿宋" w:hAnsi="仿宋" w:eastAsia="仿宋" w:cs="仿宋"/>
          <w:color w:val="auto"/>
          <w:sz w:val="28"/>
          <w:szCs w:val="20"/>
          <w:highlight w:val="none"/>
          <w:lang w:val="en-US" w:eastAsia="zh-CN"/>
        </w:rPr>
        <w:t>及工作内容</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lang w:val="en-US" w:eastAsia="zh-CN"/>
        </w:rPr>
        <w:t>按照日常管理维护要求</w:t>
      </w:r>
      <w:r>
        <w:rPr>
          <w:rFonts w:hint="eastAsia" w:ascii="仿宋" w:hAnsi="仿宋" w:eastAsia="仿宋" w:cs="仿宋"/>
          <w:color w:val="auto"/>
          <w:sz w:val="28"/>
          <w:szCs w:val="20"/>
          <w:highlight w:val="none"/>
        </w:rPr>
        <w:t>负责对</w:t>
      </w:r>
      <w:r>
        <w:rPr>
          <w:rFonts w:hint="eastAsia" w:ascii="仿宋" w:hAnsi="仿宋" w:eastAsia="仿宋" w:cs="仿宋"/>
          <w:color w:val="auto"/>
          <w:sz w:val="28"/>
          <w:szCs w:val="20"/>
          <w:highlight w:val="none"/>
          <w:lang w:val="en-US" w:eastAsia="zh-CN"/>
        </w:rPr>
        <w:t>重庆市南岸区长嘉汇组团、喜马拉雅、千佛寺、长江艺术广场、武夷滨江组团、阳光100组团、两江壹号组团等景观灯饰及景观灯饰专用电表</w:t>
      </w:r>
      <w:r>
        <w:rPr>
          <w:rFonts w:hint="eastAsia" w:ascii="仿宋" w:hAnsi="仿宋" w:eastAsia="仿宋" w:cs="仿宋"/>
          <w:color w:val="auto"/>
          <w:sz w:val="28"/>
          <w:szCs w:val="20"/>
          <w:highlight w:val="none"/>
        </w:rPr>
        <w:t>进行日常维护管理，</w:t>
      </w:r>
      <w:r>
        <w:rPr>
          <w:rFonts w:hint="eastAsia" w:ascii="仿宋" w:hAnsi="仿宋" w:eastAsia="仿宋" w:cs="仿宋"/>
          <w:color w:val="auto"/>
          <w:sz w:val="28"/>
          <w:szCs w:val="20"/>
          <w:highlight w:val="none"/>
          <w:lang w:val="en-US" w:eastAsia="zh-CN"/>
        </w:rPr>
        <w:t>包括但不限于对景观灯饰、专用电表箱、相关线路等设施设备现状故障维修，进行日常巡查、协调物管公司、日常维护及防盗等相关工作。</w:t>
      </w:r>
      <w:r>
        <w:rPr>
          <w:rFonts w:hint="eastAsia" w:ascii="仿宋" w:hAnsi="仿宋" w:eastAsia="仿宋" w:cs="仿宋"/>
          <w:color w:val="auto"/>
          <w:sz w:val="28"/>
          <w:szCs w:val="20"/>
          <w:highlight w:val="none"/>
        </w:rPr>
        <w:t>管护范围及项目清单以最终签订的移交确认书为准，具体详见附件1。</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（二）</w:t>
      </w:r>
      <w:r>
        <w:rPr>
          <w:rFonts w:hint="eastAsia" w:ascii="仿宋" w:hAnsi="仿宋" w:eastAsia="仿宋" w:cs="仿宋"/>
          <w:color w:val="auto"/>
          <w:sz w:val="28"/>
          <w:szCs w:val="20"/>
          <w:highlight w:val="none"/>
          <w:lang w:val="en-US" w:eastAsia="zh-CN"/>
        </w:rPr>
        <w:t>合同</w:t>
      </w:r>
      <w:r>
        <w:rPr>
          <w:rFonts w:hint="eastAsia" w:ascii="仿宋" w:hAnsi="仿宋" w:eastAsia="仿宋" w:cs="仿宋"/>
          <w:color w:val="auto"/>
          <w:sz w:val="28"/>
          <w:szCs w:val="20"/>
          <w:highlight w:val="none"/>
        </w:rPr>
        <w:t>期限：</w:t>
      </w:r>
      <w:r>
        <w:rPr>
          <w:rFonts w:hint="eastAsia" w:ascii="仿宋" w:hAnsi="仿宋" w:eastAsia="仿宋" w:cs="仿宋"/>
          <w:color w:val="auto"/>
          <w:sz w:val="28"/>
          <w:szCs w:val="20"/>
          <w:highlight w:val="none"/>
          <w:lang w:val="en-US" w:eastAsia="zh-CN"/>
        </w:rPr>
        <w:t>2026年1月1日</w:t>
      </w:r>
      <w:r>
        <w:rPr>
          <w:rFonts w:hint="eastAsia" w:ascii="仿宋" w:hAnsi="仿宋" w:eastAsia="仿宋" w:cs="仿宋"/>
          <w:color w:val="auto"/>
          <w:sz w:val="28"/>
          <w:szCs w:val="20"/>
          <w:highlight w:val="none"/>
          <w:lang w:val="en-US" w:eastAsia="zh-CN"/>
        </w:rPr>
        <w:t>至2026年6月30日</w:t>
      </w:r>
      <w:r>
        <w:rPr>
          <w:rFonts w:hint="eastAsia" w:ascii="仿宋" w:hAnsi="仿宋" w:eastAsia="仿宋" w:cs="仿宋"/>
          <w:color w:val="auto"/>
          <w:sz w:val="28"/>
          <w:szCs w:val="20"/>
          <w:highlight w:val="none"/>
        </w:rPr>
        <w:t>。</w:t>
      </w:r>
    </w:p>
    <w:p>
      <w:pPr>
        <w:spacing w:line="440" w:lineRule="exact"/>
        <w:ind w:firstLine="560" w:firstLineChars="200"/>
        <w:rPr>
          <w:rFonts w:hint="default" w:ascii="仿宋" w:hAnsi="仿宋" w:eastAsia="仿宋" w:cs="仿宋"/>
          <w:color w:val="auto"/>
          <w:sz w:val="28"/>
          <w:szCs w:val="20"/>
          <w:highlight w:val="none"/>
          <w:lang w:val="en-US" w:eastAsia="zh-CN"/>
        </w:rPr>
      </w:pPr>
      <w:r>
        <w:rPr>
          <w:rFonts w:hint="eastAsia" w:ascii="仿宋" w:hAnsi="仿宋" w:eastAsia="仿宋" w:cs="仿宋"/>
          <w:color w:val="auto"/>
          <w:sz w:val="28"/>
          <w:szCs w:val="20"/>
          <w:highlight w:val="none"/>
        </w:rPr>
        <w:t>（三）合同金额</w:t>
      </w:r>
      <w:r>
        <w:rPr>
          <w:rFonts w:hint="eastAsia" w:ascii="仿宋" w:hAnsi="仿宋" w:eastAsia="仿宋" w:cs="仿宋"/>
          <w:color w:val="auto"/>
          <w:sz w:val="28"/>
          <w:szCs w:val="20"/>
          <w:highlight w:val="none"/>
          <w:lang w:eastAsia="zh-CN"/>
        </w:rPr>
        <w:t>（</w:t>
      </w:r>
      <w:r>
        <w:rPr>
          <w:rFonts w:hint="eastAsia" w:ascii="仿宋" w:hAnsi="仿宋" w:eastAsia="仿宋" w:cs="仿宋"/>
          <w:color w:val="auto"/>
          <w:sz w:val="28"/>
          <w:szCs w:val="20"/>
          <w:highlight w:val="none"/>
          <w:lang w:val="en-US" w:eastAsia="zh-CN"/>
        </w:rPr>
        <w:t>即日常管护费）</w:t>
      </w: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u w:val="single"/>
          <w:lang w:val="en-US" w:eastAsia="zh-CN"/>
        </w:rPr>
        <w:t xml:space="preserve">             </w:t>
      </w:r>
      <w:r>
        <w:rPr>
          <w:rFonts w:hint="eastAsia" w:ascii="仿宋" w:hAnsi="仿宋" w:eastAsia="仿宋" w:cs="仿宋"/>
          <w:color w:val="auto"/>
          <w:sz w:val="28"/>
          <w:szCs w:val="20"/>
          <w:highlight w:val="none"/>
          <w:lang w:val="en-US" w:eastAsia="zh-CN"/>
        </w:rPr>
        <w:t>元。</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（四）付款方式：</w:t>
      </w:r>
    </w:p>
    <w:p>
      <w:pPr>
        <w:spacing w:line="440" w:lineRule="exact"/>
        <w:ind w:firstLine="560" w:firstLineChars="200"/>
        <w:rPr>
          <w:rFonts w:hint="default" w:ascii="仿宋" w:hAnsi="仿宋" w:eastAsia="仿宋" w:cs="仿宋"/>
          <w:color w:val="auto"/>
          <w:sz w:val="28"/>
          <w:szCs w:val="20"/>
          <w:highlight w:val="none"/>
          <w:lang w:val="en-US" w:eastAsia="zh-CN"/>
        </w:rPr>
      </w:pPr>
      <w:r>
        <w:rPr>
          <w:rFonts w:hint="eastAsia" w:ascii="仿宋" w:hAnsi="仿宋" w:eastAsia="仿宋" w:cs="仿宋"/>
          <w:color w:val="auto"/>
          <w:sz w:val="28"/>
          <w:szCs w:val="20"/>
          <w:highlight w:val="none"/>
        </w:rPr>
        <w:t>1.</w:t>
      </w:r>
      <w:r>
        <w:rPr>
          <w:rFonts w:hint="eastAsia" w:ascii="仿宋" w:hAnsi="仿宋" w:eastAsia="仿宋" w:cs="仿宋"/>
          <w:color w:val="auto"/>
          <w:sz w:val="28"/>
          <w:szCs w:val="20"/>
          <w:highlight w:val="none"/>
          <w:lang w:val="en-US" w:eastAsia="zh-CN"/>
        </w:rPr>
        <w:t>本合同为后付费模式，本工程在管护期结束且完成维护考核后，发包人支付承包人至结算金额的100%。</w:t>
      </w:r>
    </w:p>
    <w:p>
      <w:pPr>
        <w:spacing w:line="440" w:lineRule="exact"/>
        <w:ind w:firstLine="560" w:firstLineChars="200"/>
        <w:rPr>
          <w:rFonts w:hint="eastAsia" w:ascii="仿宋" w:hAnsi="仿宋" w:eastAsia="仿宋" w:cs="仿宋"/>
          <w:color w:val="auto"/>
          <w:sz w:val="28"/>
          <w:szCs w:val="20"/>
          <w:highlight w:val="none"/>
        </w:rPr>
      </w:pPr>
      <w:r>
        <w:rPr>
          <w:rFonts w:hint="eastAsia" w:ascii="仿宋" w:hAnsi="仿宋" w:eastAsia="仿宋" w:cs="仿宋"/>
          <w:color w:val="auto"/>
          <w:sz w:val="28"/>
          <w:szCs w:val="20"/>
          <w:highlight w:val="none"/>
        </w:rPr>
        <w:t>2.每次支付前，乙方应提供相应的</w:t>
      </w:r>
      <w:r>
        <w:rPr>
          <w:rFonts w:hint="eastAsia" w:ascii="仿宋" w:hAnsi="仿宋" w:eastAsia="仿宋" w:cs="仿宋"/>
          <w:color w:val="auto"/>
          <w:sz w:val="28"/>
          <w:szCs w:val="20"/>
          <w:highlight w:val="none"/>
          <w:lang w:val="en-US" w:eastAsia="zh-CN"/>
        </w:rPr>
        <w:t>增值税专用</w:t>
      </w:r>
      <w:r>
        <w:rPr>
          <w:rFonts w:hint="eastAsia" w:ascii="仿宋" w:hAnsi="仿宋" w:eastAsia="仿宋" w:cs="仿宋"/>
          <w:color w:val="auto"/>
          <w:sz w:val="28"/>
          <w:szCs w:val="20"/>
          <w:highlight w:val="none"/>
        </w:rPr>
        <w:t>发票</w:t>
      </w:r>
      <w:r>
        <w:rPr>
          <w:rFonts w:hint="eastAsia" w:ascii="Times New Roman" w:hAnsi="Times New Roman" w:eastAsia="方正仿宋_GBK" w:cs="Times New Roman"/>
          <w:color w:val="auto"/>
          <w:sz w:val="28"/>
          <w:szCs w:val="20"/>
          <w:highlight w:val="none"/>
        </w:rPr>
        <w:t>及</w:t>
      </w:r>
      <w:r>
        <w:rPr>
          <w:rFonts w:ascii="Times New Roman" w:hAnsi="Times New Roman" w:eastAsia="方正仿宋_GBK" w:cs="Times New Roman"/>
          <w:color w:val="auto"/>
          <w:sz w:val="28"/>
          <w:szCs w:val="20"/>
          <w:highlight w:val="none"/>
        </w:rPr>
        <w:t>相关资料</w:t>
      </w:r>
      <w:r>
        <w:rPr>
          <w:rFonts w:hint="eastAsia" w:ascii="仿宋" w:hAnsi="仿宋" w:eastAsia="仿宋" w:cs="仿宋"/>
          <w:color w:val="auto"/>
          <w:sz w:val="28"/>
          <w:szCs w:val="20"/>
          <w:highlight w:val="none"/>
        </w:rPr>
        <w:t>。</w:t>
      </w:r>
    </w:p>
    <w:p>
      <w:pPr>
        <w:pStyle w:val="6"/>
        <w:spacing w:before="0" w:after="0" w:line="440" w:lineRule="exact"/>
        <w:rPr>
          <w:rFonts w:hint="eastAsia" w:ascii="仿宋" w:hAnsi="仿宋" w:eastAsia="仿宋" w:cs="仿宋"/>
          <w:b w:val="0"/>
          <w:bCs w:val="0"/>
          <w:color w:val="auto"/>
          <w:sz w:val="28"/>
          <w:szCs w:val="20"/>
          <w:highlight w:val="none"/>
          <w:lang w:val="en-US" w:eastAsia="zh-CN"/>
        </w:rPr>
      </w:pPr>
      <w:r>
        <w:rPr>
          <w:rFonts w:hint="eastAsia" w:ascii="仿宋" w:hAnsi="仿宋" w:eastAsia="仿宋" w:cs="仿宋"/>
          <w:color w:val="auto"/>
          <w:sz w:val="28"/>
          <w:szCs w:val="20"/>
          <w:highlight w:val="none"/>
          <w:lang w:val="en-US" w:eastAsia="zh-CN"/>
        </w:rPr>
        <w:t xml:space="preserve"> </w:t>
      </w:r>
      <w:r>
        <w:rPr>
          <w:rFonts w:hint="eastAsia" w:ascii="仿宋" w:hAnsi="仿宋" w:eastAsia="仿宋" w:cs="仿宋"/>
          <w:b w:val="0"/>
          <w:bCs w:val="0"/>
          <w:color w:val="auto"/>
          <w:sz w:val="28"/>
          <w:szCs w:val="20"/>
          <w:highlight w:val="none"/>
          <w:lang w:val="en-US" w:eastAsia="zh-CN"/>
        </w:rPr>
        <w:t xml:space="preserve">   3.</w:t>
      </w:r>
      <w:r>
        <w:rPr>
          <w:rFonts w:hint="eastAsia" w:ascii="仿宋" w:hAnsi="仿宋" w:eastAsia="仿宋" w:cs="仿宋"/>
          <w:color w:val="auto"/>
          <w:sz w:val="28"/>
          <w:szCs w:val="20"/>
          <w:highlight w:val="none"/>
          <w:vertAlign w:val="baseline"/>
          <w:lang w:val="en-US" w:eastAsia="zh-CN"/>
        </w:rPr>
        <w:t>甲方已充分披露，乙方亦充分了解和认可，甲方应付的合同价款（日常管护费），为南岸区城市管理局在本项目建设过程中应支付给甲方的费用，故若甲方未收到南岸区城市管理局支付的项目建安费，甲方有权延迟支付乙方本项目相应合同价款（日常管护费），乙方则应配合甲方收取本项目建安费。</w:t>
      </w:r>
      <w:r>
        <w:rPr>
          <w:rFonts w:hint="eastAsia" w:ascii="仿宋" w:hAnsi="仿宋" w:eastAsia="仿宋" w:cs="仿宋"/>
          <w:b w:val="0"/>
          <w:bCs w:val="0"/>
          <w:color w:val="auto"/>
          <w:sz w:val="28"/>
          <w:szCs w:val="20"/>
          <w:highlight w:val="none"/>
          <w:lang w:val="en-US" w:eastAsia="zh-CN"/>
        </w:rPr>
        <w:t xml:space="preserve">  </w:t>
      </w:r>
    </w:p>
    <w:p>
      <w:pPr>
        <w:spacing w:line="440" w:lineRule="exact"/>
        <w:ind w:firstLine="560" w:firstLineChars="200"/>
        <w:rPr>
          <w:rFonts w:hint="eastAsia" w:ascii="仿宋" w:hAnsi="仿宋" w:eastAsia="仿宋" w:cs="仿宋"/>
          <w:color w:val="auto"/>
          <w:sz w:val="28"/>
          <w:szCs w:val="20"/>
          <w:highlight w:val="none"/>
          <w:lang w:val="en-US" w:eastAsia="zh-CN"/>
        </w:rPr>
      </w:pPr>
      <w:r>
        <w:rPr>
          <w:rFonts w:hint="eastAsia" w:ascii="仿宋" w:hAnsi="仿宋" w:eastAsia="仿宋" w:cs="仿宋"/>
          <w:color w:val="auto"/>
          <w:sz w:val="28"/>
          <w:szCs w:val="20"/>
          <w:highlight w:val="none"/>
        </w:rPr>
        <w:t>（五）履约</w:t>
      </w:r>
      <w:r>
        <w:rPr>
          <w:rFonts w:hint="eastAsia" w:ascii="仿宋" w:hAnsi="仿宋" w:eastAsia="仿宋" w:cs="仿宋"/>
          <w:color w:val="auto"/>
          <w:sz w:val="28"/>
          <w:szCs w:val="20"/>
          <w:highlight w:val="none"/>
          <w:lang w:val="en-US" w:eastAsia="zh-CN"/>
        </w:rPr>
        <w:t>担保</w:t>
      </w:r>
    </w:p>
    <w:p>
      <w:pPr>
        <w:snapToGrid w:val="0"/>
        <w:spacing w:line="440" w:lineRule="exact"/>
        <w:ind w:firstLine="54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1.乙方按人民币</w:t>
      </w:r>
      <w:r>
        <w:rPr>
          <w:rFonts w:hint="eastAsia" w:ascii="仿宋" w:hAnsi="仿宋" w:eastAsia="仿宋" w:cs="仿宋"/>
          <w:color w:val="auto"/>
          <w:sz w:val="28"/>
          <w:szCs w:val="20"/>
          <w:highlight w:val="none"/>
          <w:u w:val="single"/>
          <w:lang w:val="en-US" w:eastAsia="zh-CN"/>
        </w:rPr>
        <w:t xml:space="preserve">        </w:t>
      </w:r>
      <w:r>
        <w:rPr>
          <w:rFonts w:hint="eastAsia" w:ascii="仿宋" w:hAnsi="仿宋" w:eastAsia="仿宋" w:cs="仿宋"/>
          <w:color w:val="auto"/>
          <w:sz w:val="28"/>
          <w:szCs w:val="20"/>
          <w:highlight w:val="none"/>
        </w:rPr>
        <w:t>元（大写：</w:t>
      </w:r>
      <w:r>
        <w:rPr>
          <w:rFonts w:hint="eastAsia" w:ascii="仿宋" w:hAnsi="仿宋" w:eastAsia="仿宋" w:cs="仿宋"/>
          <w:color w:val="auto"/>
          <w:sz w:val="28"/>
          <w:szCs w:val="20"/>
          <w:highlight w:val="none"/>
          <w:u w:val="single"/>
          <w:lang w:val="en-US" w:eastAsia="zh-CN"/>
        </w:rPr>
        <w:t xml:space="preserve">        整</w:t>
      </w: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w:t>
      </w:r>
      <w:r>
        <w:rPr>
          <w:rFonts w:hint="eastAsia" w:ascii="仿宋" w:hAnsi="仿宋" w:eastAsia="仿宋" w:cs="仿宋"/>
          <w:color w:val="auto"/>
          <w:sz w:val="28"/>
          <w:szCs w:val="20"/>
          <w:highlight w:val="none"/>
          <w:lang w:val="en-US" w:eastAsia="zh-CN"/>
        </w:rPr>
        <w:t>中选包干总价的10%</w:t>
      </w:r>
      <w:r>
        <w:rPr>
          <w:rFonts w:hint="eastAsia" w:ascii="仿宋" w:hAnsi="仿宋" w:eastAsia="仿宋" w:cs="仿宋"/>
          <w:color w:val="auto"/>
          <w:sz w:val="28"/>
          <w:szCs w:val="20"/>
          <w:highlight w:val="none"/>
          <w:lang w:eastAsia="zh-CN"/>
        </w:rPr>
        <w:t>），</w:t>
      </w:r>
      <w:r>
        <w:rPr>
          <w:rFonts w:hint="eastAsia" w:ascii="仿宋" w:hAnsi="仿宋" w:eastAsia="仿宋" w:cs="仿宋"/>
          <w:color w:val="auto"/>
          <w:sz w:val="28"/>
          <w:szCs w:val="20"/>
          <w:highlight w:val="none"/>
        </w:rPr>
        <w:t>向甲方</w:t>
      </w:r>
      <w:r>
        <w:rPr>
          <w:rFonts w:hint="eastAsia" w:ascii="仿宋" w:hAnsi="仿宋" w:eastAsia="仿宋" w:cs="仿宋"/>
          <w:color w:val="auto"/>
          <w:sz w:val="28"/>
          <w:szCs w:val="20"/>
          <w:highlight w:val="none"/>
          <w:lang w:val="en-US" w:eastAsia="zh-CN"/>
        </w:rPr>
        <w:t>提交</w:t>
      </w:r>
      <w:r>
        <w:rPr>
          <w:rFonts w:hint="eastAsia" w:ascii="仿宋" w:hAnsi="仿宋" w:eastAsia="仿宋" w:cs="仿宋"/>
          <w:color w:val="auto"/>
          <w:sz w:val="28"/>
          <w:szCs w:val="20"/>
          <w:highlight w:val="none"/>
        </w:rPr>
        <w:t>履约</w:t>
      </w:r>
      <w:r>
        <w:rPr>
          <w:rFonts w:hint="eastAsia" w:ascii="仿宋" w:hAnsi="仿宋" w:eastAsia="仿宋" w:cs="仿宋"/>
          <w:color w:val="auto"/>
          <w:sz w:val="28"/>
          <w:szCs w:val="20"/>
          <w:highlight w:val="none"/>
          <w:lang w:val="en-US" w:eastAsia="zh-CN"/>
        </w:rPr>
        <w:t>担保</w:t>
      </w:r>
      <w:r>
        <w:rPr>
          <w:rFonts w:hint="eastAsia" w:ascii="仿宋" w:hAnsi="仿宋" w:eastAsia="仿宋" w:cs="仿宋"/>
          <w:color w:val="auto"/>
          <w:sz w:val="28"/>
          <w:szCs w:val="20"/>
          <w:highlight w:val="none"/>
        </w:rPr>
        <w:t>。</w:t>
      </w:r>
    </w:p>
    <w:p>
      <w:pPr>
        <w:snapToGrid w:val="0"/>
        <w:spacing w:line="440" w:lineRule="exact"/>
        <w:ind w:firstLine="54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2.履约</w:t>
      </w:r>
      <w:r>
        <w:rPr>
          <w:rFonts w:hint="eastAsia" w:ascii="仿宋" w:hAnsi="仿宋" w:eastAsia="仿宋" w:cs="仿宋"/>
          <w:color w:val="auto"/>
          <w:sz w:val="28"/>
          <w:szCs w:val="28"/>
          <w:highlight w:val="none"/>
          <w:lang w:val="en-US" w:eastAsia="zh-CN"/>
        </w:rPr>
        <w:t>担保</w:t>
      </w:r>
      <w:r>
        <w:rPr>
          <w:rFonts w:hint="eastAsia" w:ascii="仿宋" w:hAnsi="仿宋" w:eastAsia="仿宋" w:cs="仿宋"/>
          <w:color w:val="auto"/>
          <w:sz w:val="28"/>
          <w:szCs w:val="28"/>
          <w:highlight w:val="none"/>
        </w:rPr>
        <w:t>形式。本项目履约</w:t>
      </w:r>
      <w:r>
        <w:rPr>
          <w:rFonts w:hint="eastAsia" w:ascii="仿宋" w:hAnsi="仿宋" w:eastAsia="仿宋" w:cs="仿宋"/>
          <w:color w:val="auto"/>
          <w:sz w:val="28"/>
          <w:szCs w:val="28"/>
          <w:highlight w:val="none"/>
          <w:lang w:val="en-US" w:eastAsia="zh-CN"/>
        </w:rPr>
        <w:t>担保</w:t>
      </w:r>
      <w:r>
        <w:rPr>
          <w:rFonts w:hint="eastAsia" w:ascii="仿宋" w:hAnsi="仿宋" w:eastAsia="仿宋" w:cs="仿宋"/>
          <w:color w:val="auto"/>
          <w:sz w:val="28"/>
          <w:szCs w:val="28"/>
          <w:highlight w:val="none"/>
        </w:rPr>
        <w:t>应以支票、汇票、本票或者金融机构出具的见索即付的保函等非现金形式提交。为保</w:t>
      </w:r>
      <w:bookmarkStart w:id="35" w:name="_GoBack"/>
      <w:bookmarkEnd w:id="35"/>
      <w:r>
        <w:rPr>
          <w:rFonts w:hint="eastAsia" w:ascii="仿宋" w:hAnsi="仿宋" w:eastAsia="仿宋" w:cs="仿宋"/>
          <w:color w:val="auto"/>
          <w:sz w:val="28"/>
          <w:szCs w:val="28"/>
          <w:highlight w:val="none"/>
        </w:rPr>
        <w:t>障</w:t>
      </w:r>
      <w:r>
        <w:rPr>
          <w:rFonts w:hint="eastAsia" w:ascii="仿宋" w:hAnsi="仿宋" w:eastAsia="仿宋" w:cs="仿宋"/>
          <w:color w:val="auto"/>
          <w:sz w:val="28"/>
          <w:szCs w:val="28"/>
          <w:highlight w:val="none"/>
          <w:lang w:val="en-US" w:eastAsia="zh-CN"/>
        </w:rPr>
        <w:t>履约担保</w:t>
      </w:r>
      <w:r>
        <w:rPr>
          <w:rFonts w:hint="eastAsia" w:ascii="仿宋" w:hAnsi="仿宋" w:eastAsia="仿宋" w:cs="仿宋"/>
          <w:color w:val="auto"/>
          <w:sz w:val="28"/>
          <w:szCs w:val="28"/>
          <w:highlight w:val="none"/>
        </w:rPr>
        <w:t>的安全性和简化手续，建议成交供应商采用见索即付的保函形式递交履约</w:t>
      </w:r>
      <w:r>
        <w:rPr>
          <w:rFonts w:hint="eastAsia" w:ascii="仿宋" w:hAnsi="仿宋" w:eastAsia="仿宋" w:cs="仿宋"/>
          <w:color w:val="auto"/>
          <w:sz w:val="28"/>
          <w:szCs w:val="28"/>
          <w:highlight w:val="none"/>
          <w:lang w:val="en-US" w:eastAsia="zh-CN"/>
        </w:rPr>
        <w:t>担保</w:t>
      </w:r>
      <w:r>
        <w:rPr>
          <w:rFonts w:hint="eastAsia" w:ascii="仿宋" w:hAnsi="仿宋" w:eastAsia="仿宋" w:cs="仿宋"/>
          <w:color w:val="auto"/>
          <w:sz w:val="28"/>
          <w:szCs w:val="28"/>
          <w:highlight w:val="none"/>
        </w:rPr>
        <w:t>为宜。</w:t>
      </w:r>
    </w:p>
    <w:p>
      <w:pPr>
        <w:snapToGrid w:val="0"/>
        <w:spacing w:line="440" w:lineRule="exact"/>
        <w:ind w:firstLine="54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3.履约担保期限：自合同生效之日起至服务验收合格之日止。</w:t>
      </w:r>
    </w:p>
    <w:p>
      <w:pPr>
        <w:spacing w:line="440" w:lineRule="exact"/>
        <w:ind w:firstLine="560" w:firstLineChars="200"/>
        <w:jc w:val="left"/>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4.履约担保提交时间：在领取成交通知书后5个工作日内，合同签订前递交给</w:t>
      </w:r>
      <w:r>
        <w:rPr>
          <w:rFonts w:hint="eastAsia" w:ascii="仿宋" w:hAnsi="仿宋" w:eastAsia="仿宋" w:cs="仿宋"/>
          <w:color w:val="auto"/>
          <w:sz w:val="28"/>
          <w:szCs w:val="20"/>
          <w:highlight w:val="none"/>
          <w:lang w:val="en-US" w:eastAsia="zh-CN"/>
        </w:rPr>
        <w:t>甲方</w:t>
      </w:r>
      <w:r>
        <w:rPr>
          <w:rFonts w:hint="eastAsia" w:ascii="仿宋" w:hAnsi="仿宋" w:eastAsia="仿宋" w:cs="仿宋"/>
          <w:color w:val="auto"/>
          <w:sz w:val="28"/>
          <w:szCs w:val="20"/>
          <w:highlight w:val="none"/>
        </w:rPr>
        <w:t>，若不按时进行缴纳的，</w:t>
      </w:r>
      <w:r>
        <w:rPr>
          <w:rFonts w:hint="eastAsia" w:ascii="仿宋" w:hAnsi="仿宋" w:eastAsia="仿宋" w:cs="仿宋"/>
          <w:color w:val="auto"/>
          <w:sz w:val="28"/>
          <w:szCs w:val="20"/>
          <w:highlight w:val="none"/>
          <w:lang w:val="en-US" w:eastAsia="zh-CN"/>
        </w:rPr>
        <w:t>甲方</w:t>
      </w:r>
      <w:r>
        <w:rPr>
          <w:rFonts w:hint="eastAsia" w:ascii="仿宋" w:hAnsi="仿宋" w:eastAsia="仿宋" w:cs="仿宋"/>
          <w:color w:val="auto"/>
          <w:sz w:val="28"/>
          <w:szCs w:val="20"/>
          <w:highlight w:val="none"/>
        </w:rPr>
        <w:t>有权取消</w:t>
      </w:r>
      <w:r>
        <w:rPr>
          <w:rFonts w:hint="eastAsia" w:ascii="仿宋" w:hAnsi="仿宋" w:eastAsia="仿宋" w:cs="仿宋"/>
          <w:color w:val="auto"/>
          <w:sz w:val="28"/>
          <w:szCs w:val="20"/>
          <w:highlight w:val="none"/>
          <w:lang w:val="en-US" w:eastAsia="zh-CN"/>
        </w:rPr>
        <w:t>乙方</w:t>
      </w:r>
      <w:r>
        <w:rPr>
          <w:rFonts w:hint="eastAsia" w:ascii="仿宋" w:hAnsi="仿宋" w:eastAsia="仿宋" w:cs="仿宋"/>
          <w:color w:val="auto"/>
          <w:sz w:val="28"/>
          <w:szCs w:val="20"/>
          <w:highlight w:val="none"/>
        </w:rPr>
        <w:t xml:space="preserve">的成交资格。  </w:t>
      </w:r>
    </w:p>
    <w:p>
      <w:pPr>
        <w:spacing w:line="440" w:lineRule="exact"/>
        <w:ind w:firstLine="560" w:firstLineChars="200"/>
        <w:jc w:val="left"/>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5.履约担保的退还方式、时间、条件：履约担保在</w:t>
      </w:r>
      <w:r>
        <w:rPr>
          <w:rFonts w:hint="eastAsia" w:ascii="仿宋" w:hAnsi="仿宋" w:eastAsia="仿宋" w:cs="仿宋"/>
          <w:color w:val="auto"/>
          <w:sz w:val="28"/>
          <w:szCs w:val="20"/>
          <w:highlight w:val="none"/>
          <w:lang w:val="en-US" w:eastAsia="zh-CN"/>
        </w:rPr>
        <w:t>乙方</w:t>
      </w:r>
      <w:r>
        <w:rPr>
          <w:rFonts w:hint="eastAsia" w:ascii="仿宋" w:hAnsi="仿宋" w:eastAsia="仿宋" w:cs="仿宋"/>
          <w:color w:val="auto"/>
          <w:sz w:val="28"/>
          <w:szCs w:val="20"/>
          <w:highlight w:val="none"/>
        </w:rPr>
        <w:t>完成服务期限或合同约定的所有工作后</w:t>
      </w:r>
      <w:r>
        <w:rPr>
          <w:rFonts w:hint="eastAsia" w:ascii="仿宋" w:hAnsi="仿宋" w:eastAsia="仿宋" w:cs="仿宋"/>
          <w:color w:val="auto"/>
          <w:sz w:val="28"/>
          <w:szCs w:val="20"/>
          <w:highlight w:val="none"/>
          <w:lang w:val="en-US" w:eastAsia="zh-CN"/>
        </w:rPr>
        <w:t>3</w:t>
      </w:r>
      <w:r>
        <w:rPr>
          <w:rFonts w:hint="eastAsia" w:ascii="仿宋" w:hAnsi="仿宋" w:eastAsia="仿宋" w:cs="仿宋"/>
          <w:color w:val="auto"/>
          <w:sz w:val="28"/>
          <w:szCs w:val="20"/>
          <w:highlight w:val="none"/>
        </w:rPr>
        <w:t>个工作日内无息退还。</w:t>
      </w:r>
    </w:p>
    <w:p>
      <w:pPr>
        <w:spacing w:line="440" w:lineRule="exact"/>
        <w:ind w:firstLine="560" w:firstLineChars="200"/>
        <w:jc w:val="left"/>
        <w:rPr>
          <w:rFonts w:hint="default" w:eastAsia="仿宋"/>
          <w:highlight w:val="cyan"/>
          <w:lang w:val="en-US" w:eastAsia="zh-CN"/>
        </w:rPr>
      </w:pPr>
      <w:r>
        <w:rPr>
          <w:rFonts w:hint="eastAsia" w:ascii="仿宋" w:hAnsi="仿宋" w:eastAsia="仿宋" w:cs="仿宋"/>
          <w:color w:val="auto"/>
          <w:sz w:val="28"/>
          <w:szCs w:val="20"/>
          <w:highlight w:val="none"/>
        </w:rPr>
        <w:t>6.若有下列情况之一的，履约保证金将不予退还：6.1 无故不与</w:t>
      </w:r>
      <w:r>
        <w:rPr>
          <w:rFonts w:hint="eastAsia" w:ascii="仿宋" w:hAnsi="仿宋" w:eastAsia="仿宋" w:cs="仿宋"/>
          <w:color w:val="auto"/>
          <w:sz w:val="28"/>
          <w:szCs w:val="20"/>
          <w:highlight w:val="none"/>
          <w:lang w:val="en-US" w:eastAsia="zh-CN"/>
        </w:rPr>
        <w:t>甲方</w:t>
      </w:r>
      <w:r>
        <w:rPr>
          <w:rFonts w:hint="eastAsia" w:ascii="仿宋" w:hAnsi="仿宋" w:eastAsia="仿宋" w:cs="仿宋"/>
          <w:color w:val="auto"/>
          <w:sz w:val="28"/>
          <w:szCs w:val="20"/>
          <w:highlight w:val="none"/>
        </w:rPr>
        <w:t>签订合同的；6.2未按合同约定内容履约的。</w:t>
      </w:r>
    </w:p>
    <w:p>
      <w:pPr>
        <w:spacing w:line="440" w:lineRule="exact"/>
        <w:ind w:firstLine="560" w:firstLineChars="200"/>
        <w:jc w:val="left"/>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二、管护要求及管护考核工作</w:t>
      </w:r>
    </w:p>
    <w:p>
      <w:pPr>
        <w:spacing w:line="440" w:lineRule="exact"/>
        <w:ind w:firstLine="560" w:firstLineChars="200"/>
        <w:rPr>
          <w:rFonts w:hint="default" w:ascii="仿宋" w:hAnsi="仿宋" w:eastAsia="仿宋" w:cs="仿宋"/>
          <w:color w:val="auto"/>
          <w:sz w:val="28"/>
          <w:szCs w:val="20"/>
          <w:highlight w:val="yellow"/>
          <w:lang w:val="en-US" w:eastAsia="zh-CN"/>
        </w:rPr>
      </w:pPr>
      <w:r>
        <w:rPr>
          <w:rFonts w:hint="eastAsia" w:ascii="仿宋" w:hAnsi="仿宋" w:eastAsia="仿宋" w:cs="仿宋"/>
          <w:color w:val="auto"/>
          <w:sz w:val="28"/>
          <w:szCs w:val="20"/>
          <w:highlight w:val="none"/>
        </w:rPr>
        <w:t>详见《南岸区景观照明设施维护服务标准》（附件</w:t>
      </w:r>
      <w:r>
        <w:rPr>
          <w:rFonts w:hint="eastAsia" w:ascii="仿宋" w:hAnsi="仿宋" w:eastAsia="仿宋" w:cs="仿宋"/>
          <w:color w:val="auto"/>
          <w:sz w:val="28"/>
          <w:szCs w:val="20"/>
          <w:highlight w:val="none"/>
          <w:lang w:val="en-US" w:eastAsia="zh-CN"/>
        </w:rPr>
        <w:t>3</w:t>
      </w:r>
      <w:r>
        <w:rPr>
          <w:rFonts w:hint="eastAsia" w:ascii="仿宋" w:hAnsi="仿宋" w:eastAsia="仿宋" w:cs="仿宋"/>
          <w:color w:val="auto"/>
          <w:sz w:val="28"/>
          <w:szCs w:val="20"/>
          <w:highlight w:val="none"/>
        </w:rPr>
        <w:t>）、《南岸区景观照明设施维护考核办法》（附件</w:t>
      </w:r>
      <w:r>
        <w:rPr>
          <w:rFonts w:hint="eastAsia" w:ascii="仿宋" w:hAnsi="仿宋" w:eastAsia="仿宋" w:cs="仿宋"/>
          <w:color w:val="auto"/>
          <w:sz w:val="28"/>
          <w:szCs w:val="20"/>
          <w:highlight w:val="none"/>
          <w:lang w:val="en-US" w:eastAsia="zh-CN"/>
        </w:rPr>
        <w:t>4</w:t>
      </w: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val="en-US" w:eastAsia="zh-CN"/>
        </w:rPr>
        <w:t>本合同的管护期结束后，甲方根据附件3和附件4的要求对乙方的服务进行一次考核，考核结果作为本合同结算的依据。</w:t>
      </w:r>
    </w:p>
    <w:p>
      <w:pPr>
        <w:numPr>
          <w:ilvl w:val="0"/>
          <w:numId w:val="1"/>
        </w:numPr>
        <w:spacing w:line="440" w:lineRule="exact"/>
        <w:ind w:firstLine="560" w:firstLineChars="200"/>
        <w:rPr>
          <w:rFonts w:hint="eastAsia" w:ascii="仿宋" w:hAnsi="仿宋" w:eastAsia="仿宋" w:cs="仿宋"/>
          <w:color w:val="auto"/>
          <w:sz w:val="28"/>
          <w:szCs w:val="20"/>
          <w:highlight w:val="none"/>
          <w:lang w:val="en-US" w:eastAsia="zh-CN"/>
        </w:rPr>
      </w:pPr>
      <w:r>
        <w:rPr>
          <w:rFonts w:hint="eastAsia" w:ascii="仿宋" w:hAnsi="仿宋" w:eastAsia="仿宋" w:cs="仿宋"/>
          <w:color w:val="auto"/>
          <w:sz w:val="28"/>
          <w:szCs w:val="20"/>
          <w:highlight w:val="none"/>
          <w:lang w:val="en-US" w:eastAsia="zh-CN"/>
        </w:rPr>
        <w:t>结算</w:t>
      </w:r>
    </w:p>
    <w:p>
      <w:pPr>
        <w:numPr>
          <w:ilvl w:val="-1"/>
          <w:numId w:val="0"/>
        </w:numPr>
        <w:spacing w:line="440" w:lineRule="exact"/>
        <w:ind w:firstLine="560" w:firstLineChars="0"/>
        <w:rPr>
          <w:rFonts w:hint="eastAsia" w:ascii="仿宋" w:hAnsi="仿宋" w:eastAsia="仿宋" w:cs="仿宋"/>
          <w:color w:val="auto"/>
          <w:sz w:val="28"/>
          <w:szCs w:val="20"/>
          <w:highlight w:val="none"/>
          <w:lang w:val="en-US" w:eastAsia="zh-CN"/>
        </w:rPr>
      </w:pPr>
      <w:r>
        <w:rPr>
          <w:rFonts w:hint="eastAsia" w:ascii="仿宋" w:hAnsi="仿宋" w:eastAsia="仿宋" w:cs="仿宋"/>
          <w:color w:val="auto"/>
          <w:sz w:val="28"/>
          <w:szCs w:val="20"/>
          <w:highlight w:val="none"/>
          <w:lang w:val="en-US" w:eastAsia="zh-CN"/>
        </w:rPr>
        <w:t>结算金额=中选包干总价-考核扣减费用-其它扣款（罚款等，若有）。</w:t>
      </w:r>
    </w:p>
    <w:p>
      <w:pPr>
        <w:numPr>
          <w:ilvl w:val="-1"/>
          <w:numId w:val="0"/>
        </w:numPr>
        <w:spacing w:line="440" w:lineRule="exact"/>
        <w:ind w:firstLine="560" w:firstLineChars="0"/>
        <w:rPr>
          <w:rFonts w:hint="eastAsia" w:ascii="仿宋" w:hAnsi="仿宋" w:eastAsia="仿宋" w:cs="仿宋"/>
          <w:color w:val="auto"/>
          <w:sz w:val="28"/>
          <w:szCs w:val="20"/>
          <w:highlight w:val="none"/>
          <w:lang w:val="en-US" w:eastAsia="zh-CN"/>
        </w:rPr>
      </w:pPr>
      <w:r>
        <w:rPr>
          <w:rFonts w:hint="eastAsia" w:ascii="仿宋" w:hAnsi="仿宋" w:eastAsia="仿宋" w:cs="仿宋"/>
          <w:color w:val="auto"/>
          <w:sz w:val="28"/>
          <w:szCs w:val="20"/>
          <w:highlight w:val="none"/>
          <w:lang w:val="en-US" w:eastAsia="zh-CN"/>
        </w:rPr>
        <w:t>备注：考核扣减费用</w:t>
      </w:r>
      <w:r>
        <w:rPr>
          <w:rFonts w:hint="eastAsia" w:ascii="仿宋" w:hAnsi="仿宋" w:eastAsia="仿宋" w:cs="仿宋"/>
          <w:color w:val="auto"/>
          <w:sz w:val="28"/>
          <w:szCs w:val="20"/>
          <w:highlight w:val="none"/>
        </w:rPr>
        <w:t>按照《南岸区景观照明设施维护考核办法》（附件</w:t>
      </w:r>
      <w:r>
        <w:rPr>
          <w:rFonts w:hint="eastAsia" w:ascii="仿宋" w:hAnsi="仿宋" w:eastAsia="仿宋" w:cs="仿宋"/>
          <w:color w:val="auto"/>
          <w:sz w:val="28"/>
          <w:szCs w:val="20"/>
          <w:highlight w:val="none"/>
          <w:lang w:val="en-US" w:eastAsia="zh-CN"/>
        </w:rPr>
        <w:t>4</w:t>
      </w:r>
      <w:r>
        <w:rPr>
          <w:rFonts w:hint="eastAsia" w:ascii="仿宋" w:hAnsi="仿宋" w:eastAsia="仿宋" w:cs="仿宋"/>
          <w:color w:val="auto"/>
          <w:sz w:val="28"/>
          <w:szCs w:val="20"/>
          <w:highlight w:val="none"/>
        </w:rPr>
        <w:t>）做出相应费用扣减</w:t>
      </w:r>
      <w:r>
        <w:rPr>
          <w:rFonts w:hint="eastAsia" w:ascii="仿宋" w:hAnsi="仿宋" w:eastAsia="仿宋" w:cs="仿宋"/>
          <w:color w:val="auto"/>
          <w:sz w:val="28"/>
          <w:szCs w:val="20"/>
          <w:highlight w:val="none"/>
          <w:lang w:eastAsia="zh-CN"/>
        </w:rPr>
        <w:t>。</w:t>
      </w:r>
    </w:p>
    <w:p>
      <w:pPr>
        <w:numPr>
          <w:ilvl w:val="-1"/>
          <w:numId w:val="0"/>
        </w:num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lang w:val="en-US" w:eastAsia="zh-CN"/>
        </w:rPr>
        <w:t>四</w:t>
      </w:r>
      <w:r>
        <w:rPr>
          <w:rFonts w:hint="eastAsia" w:ascii="仿宋" w:hAnsi="仿宋" w:eastAsia="仿宋" w:cs="仿宋"/>
          <w:color w:val="auto"/>
          <w:sz w:val="28"/>
          <w:szCs w:val="20"/>
          <w:highlight w:val="none"/>
        </w:rPr>
        <w:t>、甲方权利与义务</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（一）甲方负责将上述灯饰（具体项目详见附件1）设施现状移交给乙方。</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二）甲方定期和不定期检查乙方对上述灯饰管护情况，对检查发现的问题，督促乙方限期整改，并将定期和不定期检查发现的问题以及乙方限期整改的情况纳入每季度的考核评比内容并严格进行奖惩。考核不合格的，按</w:t>
      </w:r>
      <w:r>
        <w:rPr>
          <w:rFonts w:ascii="仿宋" w:hAnsi="仿宋" w:eastAsia="仿宋" w:cs="仿宋"/>
          <w:color w:val="auto"/>
          <w:sz w:val="28"/>
          <w:szCs w:val="20"/>
          <w:highlight w:val="none"/>
        </w:rPr>
        <w:t>附件</w:t>
      </w:r>
      <w:r>
        <w:rPr>
          <w:rFonts w:hint="eastAsia" w:ascii="仿宋" w:hAnsi="仿宋" w:eastAsia="仿宋" w:cs="仿宋"/>
          <w:color w:val="auto"/>
          <w:sz w:val="28"/>
          <w:szCs w:val="20"/>
          <w:highlight w:val="none"/>
        </w:rPr>
        <w:t>5规定</w:t>
      </w:r>
      <w:r>
        <w:rPr>
          <w:rFonts w:ascii="仿宋" w:hAnsi="仿宋" w:eastAsia="仿宋" w:cs="仿宋"/>
          <w:color w:val="auto"/>
          <w:sz w:val="28"/>
          <w:szCs w:val="20"/>
          <w:highlight w:val="none"/>
        </w:rPr>
        <w:t>内容相应</w:t>
      </w:r>
      <w:r>
        <w:rPr>
          <w:rFonts w:hint="eastAsia" w:ascii="仿宋" w:hAnsi="仿宋" w:eastAsia="仿宋" w:cs="仿宋"/>
          <w:color w:val="auto"/>
          <w:sz w:val="28"/>
          <w:szCs w:val="20"/>
          <w:highlight w:val="none"/>
        </w:rPr>
        <w:t>扣除该季度</w:t>
      </w:r>
      <w:r>
        <w:rPr>
          <w:rFonts w:hint="eastAsia" w:ascii="仿宋" w:hAnsi="仿宋" w:eastAsia="仿宋" w:cs="仿宋"/>
          <w:color w:val="auto"/>
          <w:sz w:val="28"/>
          <w:szCs w:val="20"/>
          <w:highlight w:val="none"/>
          <w:lang w:val="en-US" w:eastAsia="zh-CN"/>
        </w:rPr>
        <w:t>日常</w:t>
      </w:r>
      <w:r>
        <w:rPr>
          <w:rFonts w:hint="eastAsia" w:ascii="仿宋" w:hAnsi="仿宋" w:eastAsia="仿宋" w:cs="仿宋"/>
          <w:color w:val="auto"/>
          <w:sz w:val="28"/>
          <w:szCs w:val="20"/>
          <w:highlight w:val="none"/>
        </w:rPr>
        <w:t>管护费。</w:t>
      </w:r>
    </w:p>
    <w:p>
      <w:pPr>
        <w:spacing w:line="440" w:lineRule="exact"/>
        <w:ind w:firstLine="560" w:firstLineChars="200"/>
        <w:rPr>
          <w:rFonts w:hint="eastAsia" w:ascii="仿宋" w:hAnsi="仿宋" w:eastAsia="仿宋" w:cs="仿宋"/>
          <w:color w:val="auto"/>
          <w:sz w:val="28"/>
          <w:szCs w:val="20"/>
          <w:highlight w:val="none"/>
        </w:rPr>
      </w:pPr>
      <w:r>
        <w:rPr>
          <w:rFonts w:hint="eastAsia" w:ascii="仿宋" w:hAnsi="仿宋" w:eastAsia="仿宋" w:cs="仿宋"/>
          <w:color w:val="auto"/>
          <w:sz w:val="28"/>
          <w:szCs w:val="20"/>
          <w:highlight w:val="none"/>
        </w:rPr>
        <w:t>（三）负责灯饰用电及落实日常管护</w:t>
      </w:r>
      <w:r>
        <w:rPr>
          <w:rFonts w:hint="eastAsia" w:ascii="仿宋" w:hAnsi="仿宋" w:eastAsia="仿宋" w:cs="仿宋"/>
          <w:color w:val="auto"/>
          <w:sz w:val="28"/>
          <w:szCs w:val="20"/>
          <w:highlight w:val="none"/>
          <w:lang w:val="en-US" w:eastAsia="zh-CN"/>
        </w:rPr>
        <w:t>费</w:t>
      </w:r>
      <w:r>
        <w:rPr>
          <w:rFonts w:hint="eastAsia" w:ascii="仿宋" w:hAnsi="仿宋" w:eastAsia="仿宋" w:cs="仿宋"/>
          <w:color w:val="auto"/>
          <w:sz w:val="28"/>
          <w:szCs w:val="20"/>
          <w:highlight w:val="none"/>
        </w:rPr>
        <w:t>到位，严格按照合同规定支付。</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lang w:val="en-US" w:eastAsia="zh-CN"/>
        </w:rPr>
        <w:t>五</w:t>
      </w:r>
      <w:r>
        <w:rPr>
          <w:rFonts w:hint="eastAsia" w:ascii="仿宋" w:hAnsi="仿宋" w:eastAsia="仿宋" w:cs="仿宋"/>
          <w:color w:val="auto"/>
          <w:sz w:val="28"/>
          <w:szCs w:val="20"/>
          <w:highlight w:val="none"/>
        </w:rPr>
        <w:t>、乙方权利与义务</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一</w:t>
      </w:r>
      <w:r>
        <w:rPr>
          <w:rFonts w:hint="eastAsia" w:ascii="仿宋" w:hAnsi="仿宋" w:eastAsia="仿宋" w:cs="仿宋"/>
          <w:color w:val="auto"/>
          <w:sz w:val="28"/>
          <w:szCs w:val="20"/>
          <w:highlight w:val="none"/>
        </w:rPr>
        <w:t>）组建灯饰日常管护专业队伍（人员</w:t>
      </w:r>
      <w:r>
        <w:rPr>
          <w:rFonts w:ascii="仿宋" w:hAnsi="仿宋" w:eastAsia="仿宋" w:cs="仿宋"/>
          <w:color w:val="auto"/>
          <w:sz w:val="28"/>
          <w:szCs w:val="20"/>
          <w:highlight w:val="none"/>
        </w:rPr>
        <w:t>保证</w:t>
      </w:r>
      <w:r>
        <w:rPr>
          <w:rFonts w:ascii="仿宋" w:hAnsi="仿宋" w:eastAsia="仿宋" w:cs="仿宋"/>
          <w:color w:val="auto"/>
          <w:sz w:val="28"/>
          <w:szCs w:val="20"/>
          <w:highlight w:val="none"/>
          <w:u w:val="single"/>
        </w:rPr>
        <w:t xml:space="preserve">    </w:t>
      </w:r>
      <w:r>
        <w:rPr>
          <w:rFonts w:hint="eastAsia" w:ascii="仿宋" w:hAnsi="仿宋" w:eastAsia="仿宋" w:cs="仿宋"/>
          <w:color w:val="auto"/>
          <w:sz w:val="28"/>
          <w:szCs w:val="20"/>
          <w:highlight w:val="none"/>
        </w:rPr>
        <w:t>人</w:t>
      </w:r>
      <w:r>
        <w:rPr>
          <w:rFonts w:ascii="仿宋" w:hAnsi="仿宋" w:eastAsia="仿宋" w:cs="仿宋"/>
          <w:color w:val="auto"/>
          <w:sz w:val="28"/>
          <w:szCs w:val="20"/>
          <w:highlight w:val="none"/>
        </w:rPr>
        <w:t>以上，身体健康，持有效</w:t>
      </w:r>
      <w:r>
        <w:rPr>
          <w:rFonts w:hint="eastAsia" w:ascii="仿宋" w:hAnsi="仿宋" w:eastAsia="仿宋" w:cs="仿宋"/>
          <w:color w:val="auto"/>
          <w:sz w:val="28"/>
          <w:szCs w:val="20"/>
          <w:highlight w:val="none"/>
        </w:rPr>
        <w:t>证书</w:t>
      </w:r>
      <w:r>
        <w:rPr>
          <w:rFonts w:ascii="仿宋" w:hAnsi="仿宋" w:eastAsia="仿宋" w:cs="仿宋"/>
          <w:color w:val="auto"/>
          <w:sz w:val="28"/>
          <w:szCs w:val="20"/>
          <w:highlight w:val="none"/>
        </w:rPr>
        <w:t>上岗</w:t>
      </w:r>
      <w:r>
        <w:rPr>
          <w:rFonts w:hint="eastAsia" w:ascii="仿宋" w:hAnsi="仿宋" w:eastAsia="仿宋" w:cs="仿宋"/>
          <w:color w:val="auto"/>
          <w:sz w:val="28"/>
          <w:szCs w:val="20"/>
          <w:highlight w:val="none"/>
        </w:rPr>
        <w:t>，人员名单和联系电话送甲方存档，详见附件</w:t>
      </w:r>
      <w:r>
        <w:rPr>
          <w:rFonts w:hint="eastAsia" w:ascii="仿宋" w:hAnsi="仿宋" w:eastAsia="仿宋" w:cs="仿宋"/>
          <w:color w:val="auto"/>
          <w:sz w:val="28"/>
          <w:szCs w:val="20"/>
          <w:highlight w:val="none"/>
          <w:lang w:val="en-US" w:eastAsia="zh-CN"/>
        </w:rPr>
        <w:t>2</w:t>
      </w:r>
      <w:r>
        <w:rPr>
          <w:rFonts w:hint="eastAsia" w:ascii="仿宋" w:hAnsi="仿宋" w:eastAsia="仿宋" w:cs="仿宋"/>
          <w:color w:val="auto"/>
          <w:sz w:val="28"/>
          <w:szCs w:val="20"/>
          <w:highlight w:val="none"/>
        </w:rPr>
        <w:t>），专门负责上述灯饰的日常管护工作，确保每日有专人巡视守护、检查维护和定期清洗检修灯饰，包括更换灯具、光源、电线以及附属设施设备等。严格</w:t>
      </w:r>
      <w:r>
        <w:rPr>
          <w:rFonts w:ascii="仿宋" w:hAnsi="仿宋" w:eastAsia="仿宋" w:cs="仿宋"/>
          <w:color w:val="auto"/>
          <w:sz w:val="28"/>
          <w:szCs w:val="20"/>
          <w:highlight w:val="none"/>
        </w:rPr>
        <w:t>按照相关要求、标准</w:t>
      </w:r>
      <w:r>
        <w:rPr>
          <w:rFonts w:hint="eastAsia" w:ascii="仿宋" w:hAnsi="仿宋" w:eastAsia="仿宋" w:cs="仿宋"/>
          <w:color w:val="auto"/>
          <w:sz w:val="28"/>
          <w:szCs w:val="20"/>
          <w:highlight w:val="none"/>
        </w:rPr>
        <w:t>进行</w:t>
      </w:r>
      <w:r>
        <w:rPr>
          <w:rFonts w:ascii="仿宋" w:hAnsi="仿宋" w:eastAsia="仿宋" w:cs="仿宋"/>
          <w:color w:val="auto"/>
          <w:sz w:val="28"/>
          <w:szCs w:val="20"/>
          <w:highlight w:val="none"/>
        </w:rPr>
        <w:t>维修维护工作。</w:t>
      </w:r>
      <w:r>
        <w:rPr>
          <w:rFonts w:hint="eastAsia" w:ascii="仿宋" w:hAnsi="仿宋" w:eastAsia="仿宋" w:cs="仿宋"/>
          <w:color w:val="auto"/>
          <w:sz w:val="28"/>
          <w:szCs w:val="20"/>
          <w:highlight w:val="none"/>
        </w:rPr>
        <w:t>每日</w:t>
      </w:r>
      <w:r>
        <w:rPr>
          <w:rFonts w:ascii="仿宋" w:hAnsi="仿宋" w:eastAsia="仿宋" w:cs="仿宋"/>
          <w:color w:val="auto"/>
          <w:sz w:val="28"/>
          <w:szCs w:val="20"/>
          <w:highlight w:val="none"/>
        </w:rPr>
        <w:t>安排不少于</w:t>
      </w:r>
      <w:r>
        <w:rPr>
          <w:rFonts w:hint="eastAsia" w:ascii="仿宋" w:hAnsi="仿宋" w:eastAsia="仿宋" w:cs="仿宋"/>
          <w:color w:val="auto"/>
          <w:sz w:val="28"/>
          <w:szCs w:val="20"/>
          <w:highlight w:val="none"/>
        </w:rPr>
        <w:t>2名专职</w:t>
      </w:r>
      <w:r>
        <w:rPr>
          <w:rFonts w:ascii="仿宋" w:hAnsi="仿宋" w:eastAsia="仿宋" w:cs="仿宋"/>
          <w:color w:val="auto"/>
          <w:sz w:val="28"/>
          <w:szCs w:val="20"/>
          <w:highlight w:val="none"/>
        </w:rPr>
        <w:t>巡查人员及车辆</w:t>
      </w:r>
      <w:r>
        <w:rPr>
          <w:rFonts w:hint="eastAsia" w:ascii="仿宋" w:hAnsi="仿宋" w:eastAsia="仿宋" w:cs="仿宋"/>
          <w:color w:val="auto"/>
          <w:sz w:val="28"/>
          <w:szCs w:val="20"/>
          <w:highlight w:val="none"/>
        </w:rPr>
        <w:t>1辆</w:t>
      </w:r>
      <w:r>
        <w:rPr>
          <w:rFonts w:ascii="仿宋" w:hAnsi="仿宋" w:eastAsia="仿宋" w:cs="仿宋"/>
          <w:color w:val="auto"/>
          <w:sz w:val="28"/>
          <w:szCs w:val="20"/>
          <w:highlight w:val="none"/>
        </w:rPr>
        <w:t>（</w:t>
      </w:r>
      <w:r>
        <w:rPr>
          <w:rFonts w:hint="eastAsia" w:ascii="仿宋" w:hAnsi="仿宋" w:eastAsia="仿宋" w:cs="仿宋"/>
          <w:color w:val="auto"/>
          <w:sz w:val="28"/>
          <w:szCs w:val="20"/>
          <w:highlight w:val="none"/>
        </w:rPr>
        <w:t>如遇</w:t>
      </w:r>
      <w:r>
        <w:rPr>
          <w:rFonts w:ascii="仿宋" w:hAnsi="仿宋" w:eastAsia="仿宋" w:cs="仿宋"/>
          <w:color w:val="auto"/>
          <w:sz w:val="28"/>
          <w:szCs w:val="20"/>
          <w:highlight w:val="none"/>
        </w:rPr>
        <w:t>特殊情况，根据实际情况配备相应巡查人员）</w:t>
      </w:r>
      <w:r>
        <w:rPr>
          <w:rFonts w:hint="eastAsia" w:ascii="仿宋" w:hAnsi="仿宋" w:eastAsia="仿宋" w:cs="仿宋"/>
          <w:color w:val="auto"/>
          <w:sz w:val="28"/>
          <w:szCs w:val="20"/>
          <w:highlight w:val="none"/>
        </w:rPr>
        <w:t>对</w:t>
      </w:r>
      <w:r>
        <w:rPr>
          <w:rFonts w:hint="eastAsia" w:ascii="仿宋" w:hAnsi="仿宋" w:eastAsia="仿宋" w:cs="仿宋"/>
          <w:color w:val="auto"/>
          <w:sz w:val="28"/>
          <w:szCs w:val="20"/>
          <w:highlight w:val="none"/>
          <w:lang w:eastAsia="zh-CN"/>
        </w:rPr>
        <w:t>中选</w:t>
      </w:r>
      <w:r>
        <w:rPr>
          <w:rFonts w:ascii="仿宋" w:hAnsi="仿宋" w:eastAsia="仿宋" w:cs="仿宋"/>
          <w:color w:val="auto"/>
          <w:sz w:val="28"/>
          <w:szCs w:val="20"/>
          <w:highlight w:val="none"/>
        </w:rPr>
        <w:t>维护</w:t>
      </w:r>
      <w:r>
        <w:rPr>
          <w:rFonts w:hint="eastAsia" w:ascii="仿宋" w:hAnsi="仿宋" w:eastAsia="仿宋" w:cs="仿宋"/>
          <w:color w:val="auto"/>
          <w:sz w:val="28"/>
          <w:szCs w:val="20"/>
          <w:highlight w:val="none"/>
        </w:rPr>
        <w:t>范围</w:t>
      </w:r>
      <w:r>
        <w:rPr>
          <w:rFonts w:ascii="仿宋" w:hAnsi="仿宋" w:eastAsia="仿宋" w:cs="仿宋"/>
          <w:color w:val="auto"/>
          <w:sz w:val="28"/>
          <w:szCs w:val="20"/>
          <w:highlight w:val="none"/>
        </w:rPr>
        <w:t>内的维护管理项目进行巡查。</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二</w:t>
      </w:r>
      <w:r>
        <w:rPr>
          <w:rFonts w:hint="eastAsia" w:ascii="仿宋" w:hAnsi="仿宋" w:eastAsia="仿宋" w:cs="仿宋"/>
          <w:color w:val="auto"/>
          <w:sz w:val="28"/>
          <w:szCs w:val="20"/>
          <w:highlight w:val="none"/>
        </w:rPr>
        <w:t>）做好巡检记录，对发现的问题，严格按照有关要求和操作规程，及时进行维修维护，亮灯率在98%以上，设施完好率95%以上，灯饰缺损时间不得超过24小时，对发生的各类突发事件必须立即处置，同时告知甲方，并处理好由于维修维护带来的可能出现的扰民问题及与周围单位（住户）的关系。</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三</w:t>
      </w:r>
      <w:r>
        <w:rPr>
          <w:rFonts w:hint="eastAsia" w:ascii="仿宋" w:hAnsi="仿宋" w:eastAsia="仿宋" w:cs="仿宋"/>
          <w:color w:val="auto"/>
          <w:sz w:val="28"/>
          <w:szCs w:val="20"/>
          <w:highlight w:val="none"/>
        </w:rPr>
        <w:t>）负责对上述灯饰进行全面清洗并检修、随时保证亮灯灯饰干净、清洁。</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四</w:t>
      </w:r>
      <w:r>
        <w:rPr>
          <w:rFonts w:hint="eastAsia" w:ascii="仿宋" w:hAnsi="仿宋" w:eastAsia="仿宋" w:cs="仿宋"/>
          <w:color w:val="auto"/>
          <w:sz w:val="28"/>
          <w:szCs w:val="20"/>
          <w:highlight w:val="none"/>
        </w:rPr>
        <w:t>）重要节假日和重大活动需要亮灯的情况下，按甲方要求提前一天派专人定点、定时现场维护管理。</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五</w:t>
      </w:r>
      <w:r>
        <w:rPr>
          <w:rFonts w:hint="eastAsia" w:ascii="仿宋" w:hAnsi="仿宋" w:eastAsia="仿宋" w:cs="仿宋"/>
          <w:color w:val="auto"/>
          <w:sz w:val="28"/>
          <w:szCs w:val="20"/>
          <w:highlight w:val="none"/>
        </w:rPr>
        <w:t>）不得将上述灯饰日常管护工作转包给他人，也不得将上述灯饰日常管护工作肢解后分包或转包给他人。</w:t>
      </w:r>
    </w:p>
    <w:p>
      <w:pPr>
        <w:spacing w:line="440" w:lineRule="exact"/>
        <w:ind w:firstLine="560" w:firstLineChars="200"/>
        <w:rPr>
          <w:rFonts w:hint="default" w:ascii="仿宋" w:hAnsi="仿宋" w:eastAsia="仿宋" w:cs="仿宋"/>
          <w:color w:val="auto"/>
          <w:sz w:val="28"/>
          <w:szCs w:val="20"/>
          <w:highlight w:val="none"/>
          <w:lang w:val="en-US" w:eastAsia="zh-CN"/>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六</w:t>
      </w: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val="en-US" w:eastAsia="zh-CN"/>
        </w:rPr>
        <w:t>负责按照《</w:t>
      </w:r>
      <w:r>
        <w:rPr>
          <w:rFonts w:hint="eastAsia" w:ascii="仿宋" w:hAnsi="仿宋" w:eastAsia="仿宋" w:cs="仿宋"/>
          <w:color w:val="auto"/>
          <w:sz w:val="28"/>
          <w:szCs w:val="20"/>
          <w:highlight w:val="none"/>
          <w:lang w:eastAsia="zh-CN"/>
        </w:rPr>
        <w:t>重庆市主城区“两江四岸”夜市“开灯仪式”项目南岸区景观灯饰</w:t>
      </w:r>
      <w:r>
        <w:rPr>
          <w:rFonts w:hint="eastAsia" w:ascii="仿宋" w:hAnsi="仿宋" w:eastAsia="仿宋" w:cs="仿宋"/>
          <w:color w:val="auto"/>
          <w:sz w:val="28"/>
          <w:szCs w:val="20"/>
          <w:highlight w:val="none"/>
          <w:lang w:val="en-US" w:eastAsia="zh-CN"/>
        </w:rPr>
        <w:t>2026年度上半年日常</w:t>
      </w:r>
      <w:r>
        <w:rPr>
          <w:rFonts w:hint="eastAsia" w:ascii="仿宋" w:hAnsi="仿宋" w:eastAsia="仿宋" w:cs="仿宋"/>
          <w:color w:val="auto"/>
          <w:sz w:val="28"/>
          <w:szCs w:val="20"/>
          <w:highlight w:val="none"/>
          <w:lang w:eastAsia="zh-CN"/>
        </w:rPr>
        <w:t>维护管理项目清单</w:t>
      </w:r>
      <w:r>
        <w:rPr>
          <w:rFonts w:hint="eastAsia" w:ascii="仿宋" w:hAnsi="仿宋" w:eastAsia="仿宋" w:cs="仿宋"/>
          <w:color w:val="auto"/>
          <w:sz w:val="28"/>
          <w:szCs w:val="20"/>
          <w:highlight w:val="none"/>
          <w:lang w:val="en-US" w:eastAsia="zh-CN"/>
        </w:rPr>
        <w:t>》中的品牌</w:t>
      </w:r>
      <w:r>
        <w:rPr>
          <w:rFonts w:hint="eastAsia" w:ascii="仿宋" w:hAnsi="仿宋" w:eastAsia="仿宋" w:cs="仿宋"/>
          <w:color w:val="auto"/>
          <w:sz w:val="28"/>
          <w:szCs w:val="20"/>
          <w:highlight w:val="none"/>
        </w:rPr>
        <w:t>采购灯饰维护管理材料、设备。禁止使用不符合质量要求或降低配制规格的材料和设备。所更换的灯具</w:t>
      </w:r>
      <w:r>
        <w:rPr>
          <w:rFonts w:hint="eastAsia" w:ascii="仿宋" w:hAnsi="仿宋" w:eastAsia="仿宋" w:cs="仿宋"/>
          <w:color w:val="auto"/>
          <w:sz w:val="28"/>
          <w:szCs w:val="20"/>
          <w:highlight w:val="none"/>
          <w:lang w:eastAsia="zh-CN"/>
        </w:rPr>
        <w:t>、</w:t>
      </w:r>
      <w:r>
        <w:rPr>
          <w:rFonts w:hint="eastAsia" w:ascii="仿宋" w:hAnsi="仿宋" w:eastAsia="仿宋" w:cs="仿宋"/>
          <w:color w:val="auto"/>
          <w:sz w:val="28"/>
          <w:szCs w:val="20"/>
          <w:highlight w:val="none"/>
          <w:lang w:val="en-US" w:eastAsia="zh-CN"/>
        </w:rPr>
        <w:t>开关</w:t>
      </w:r>
      <w:r>
        <w:rPr>
          <w:rFonts w:hint="eastAsia" w:ascii="仿宋" w:hAnsi="仿宋" w:eastAsia="仿宋" w:cs="仿宋"/>
          <w:color w:val="auto"/>
          <w:sz w:val="28"/>
          <w:szCs w:val="20"/>
          <w:highlight w:val="none"/>
        </w:rPr>
        <w:t>在使用前必须报甲方审验。</w:t>
      </w:r>
      <w:r>
        <w:rPr>
          <w:rFonts w:hint="eastAsia" w:ascii="仿宋" w:hAnsi="仿宋" w:eastAsia="仿宋" w:cs="仿宋"/>
          <w:color w:val="auto"/>
          <w:sz w:val="28"/>
          <w:szCs w:val="20"/>
          <w:highlight w:val="none"/>
          <w:lang w:val="en-US" w:eastAsia="zh-CN"/>
        </w:rPr>
        <w:t>若因其它原因，致使无法采购原品牌灯具，则由乙方说明理由，并经甲方确认后，方可使用。</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七</w:t>
      </w:r>
      <w:r>
        <w:rPr>
          <w:rFonts w:hint="eastAsia" w:ascii="仿宋" w:hAnsi="仿宋" w:eastAsia="仿宋" w:cs="仿宋"/>
          <w:color w:val="auto"/>
          <w:sz w:val="28"/>
          <w:szCs w:val="20"/>
          <w:highlight w:val="none"/>
        </w:rPr>
        <w:t>）负责上述灯饰设施、设备、线路、灯具的所有安全工作和防盗工作，承担一切安全事故责任和费用，配合公安机关调查，对发生偷盗和损坏，确保24小时内修复，所需费用自行承担。对发现盗取灯饰工程用电，须及时采取安全技术措施，并按照有关规定处理，同时报告甲方。</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八</w:t>
      </w:r>
      <w:r>
        <w:rPr>
          <w:rFonts w:hint="eastAsia" w:ascii="仿宋" w:hAnsi="仿宋" w:eastAsia="仿宋" w:cs="仿宋"/>
          <w:color w:val="auto"/>
          <w:sz w:val="28"/>
          <w:szCs w:val="20"/>
          <w:highlight w:val="none"/>
        </w:rPr>
        <w:t>）对上述灯饰进行维修，必须事前将进行维修的灯饰内容和维修时间告知甲方。维修</w:t>
      </w:r>
      <w:r>
        <w:rPr>
          <w:rFonts w:ascii="仿宋" w:hAnsi="仿宋" w:eastAsia="仿宋" w:cs="仿宋"/>
          <w:color w:val="auto"/>
          <w:sz w:val="28"/>
          <w:szCs w:val="20"/>
          <w:highlight w:val="none"/>
        </w:rPr>
        <w:t>时</w:t>
      </w:r>
      <w:r>
        <w:rPr>
          <w:rFonts w:hint="eastAsia" w:ascii="仿宋" w:hAnsi="仿宋" w:eastAsia="仿宋" w:cs="仿宋"/>
          <w:color w:val="auto"/>
          <w:sz w:val="28"/>
          <w:szCs w:val="20"/>
          <w:highlight w:val="none"/>
        </w:rPr>
        <w:t>应</w:t>
      </w:r>
      <w:r>
        <w:rPr>
          <w:rFonts w:ascii="仿宋" w:hAnsi="仿宋" w:eastAsia="仿宋" w:cs="仿宋"/>
          <w:color w:val="auto"/>
          <w:sz w:val="28"/>
          <w:szCs w:val="20"/>
          <w:highlight w:val="none"/>
        </w:rPr>
        <w:t>注意现场</w:t>
      </w:r>
      <w:r>
        <w:rPr>
          <w:rFonts w:hint="eastAsia" w:ascii="仿宋" w:hAnsi="仿宋" w:eastAsia="仿宋" w:cs="仿宋"/>
          <w:color w:val="auto"/>
          <w:sz w:val="28"/>
          <w:szCs w:val="20"/>
          <w:highlight w:val="none"/>
        </w:rPr>
        <w:t>须</w:t>
      </w:r>
      <w:r>
        <w:rPr>
          <w:rFonts w:ascii="仿宋" w:hAnsi="仿宋" w:eastAsia="仿宋" w:cs="仿宋"/>
          <w:color w:val="auto"/>
          <w:sz w:val="28"/>
          <w:szCs w:val="20"/>
          <w:highlight w:val="none"/>
        </w:rPr>
        <w:t>文明作业，作业不得对</w:t>
      </w:r>
      <w:r>
        <w:rPr>
          <w:rFonts w:hint="eastAsia" w:ascii="仿宋" w:hAnsi="仿宋" w:eastAsia="仿宋" w:cs="仿宋"/>
          <w:color w:val="auto"/>
          <w:sz w:val="28"/>
          <w:szCs w:val="20"/>
          <w:highlight w:val="none"/>
        </w:rPr>
        <w:t>周边</w:t>
      </w:r>
      <w:r>
        <w:rPr>
          <w:rFonts w:ascii="仿宋" w:hAnsi="仿宋" w:eastAsia="仿宋" w:cs="仿宋"/>
          <w:color w:val="auto"/>
          <w:sz w:val="28"/>
          <w:szCs w:val="20"/>
          <w:highlight w:val="none"/>
        </w:rPr>
        <w:t>植物和市政设施设备造成损坏，否则，应当赔偿由此给甲方造成的损失，并且，甲方也可直接在履约保证金或</w:t>
      </w:r>
      <w:r>
        <w:rPr>
          <w:rFonts w:hint="eastAsia" w:ascii="仿宋" w:hAnsi="仿宋" w:eastAsia="仿宋" w:cs="仿宋"/>
          <w:color w:val="auto"/>
          <w:sz w:val="28"/>
          <w:szCs w:val="20"/>
          <w:highlight w:val="none"/>
          <w:lang w:val="en-US" w:eastAsia="zh-CN"/>
        </w:rPr>
        <w:t>日常管护费</w:t>
      </w:r>
      <w:r>
        <w:rPr>
          <w:rFonts w:ascii="仿宋" w:hAnsi="仿宋" w:eastAsia="仿宋" w:cs="仿宋"/>
          <w:color w:val="auto"/>
          <w:sz w:val="28"/>
          <w:szCs w:val="20"/>
          <w:highlight w:val="none"/>
        </w:rPr>
        <w:t>中扣除。</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九</w:t>
      </w:r>
      <w:r>
        <w:rPr>
          <w:rFonts w:hint="eastAsia" w:ascii="仿宋" w:hAnsi="仿宋" w:eastAsia="仿宋" w:cs="仿宋"/>
          <w:color w:val="auto"/>
          <w:sz w:val="28"/>
          <w:szCs w:val="20"/>
          <w:highlight w:val="none"/>
        </w:rPr>
        <w:t>）按照甲方要求，主动与灯饰载体的业主做好各方面的配合、协调工作，保证灯饰的正常维修及供电畅通。协调</w:t>
      </w:r>
      <w:r>
        <w:rPr>
          <w:rFonts w:ascii="仿宋" w:hAnsi="仿宋" w:eastAsia="仿宋" w:cs="仿宋"/>
          <w:color w:val="auto"/>
          <w:sz w:val="28"/>
          <w:szCs w:val="20"/>
          <w:highlight w:val="none"/>
        </w:rPr>
        <w:t>相关小区物业、业主时</w:t>
      </w:r>
      <w:r>
        <w:rPr>
          <w:rFonts w:hint="eastAsia" w:ascii="仿宋" w:hAnsi="仿宋" w:eastAsia="仿宋" w:cs="仿宋"/>
          <w:color w:val="auto"/>
          <w:sz w:val="28"/>
          <w:szCs w:val="20"/>
          <w:highlight w:val="none"/>
        </w:rPr>
        <w:t>，</w:t>
      </w:r>
      <w:r>
        <w:rPr>
          <w:rFonts w:ascii="仿宋" w:hAnsi="仿宋" w:eastAsia="仿宋" w:cs="仿宋"/>
          <w:color w:val="auto"/>
          <w:sz w:val="28"/>
          <w:szCs w:val="20"/>
          <w:highlight w:val="none"/>
        </w:rPr>
        <w:t>应以乙方为</w:t>
      </w:r>
      <w:r>
        <w:rPr>
          <w:rFonts w:hint="eastAsia" w:ascii="仿宋" w:hAnsi="仿宋" w:eastAsia="仿宋" w:cs="仿宋"/>
          <w:color w:val="auto"/>
          <w:sz w:val="28"/>
          <w:szCs w:val="20"/>
          <w:highlight w:val="none"/>
        </w:rPr>
        <w:t>主体</w:t>
      </w:r>
      <w:r>
        <w:rPr>
          <w:rFonts w:ascii="仿宋" w:hAnsi="仿宋" w:eastAsia="仿宋" w:cs="仿宋"/>
          <w:color w:val="auto"/>
          <w:sz w:val="28"/>
          <w:szCs w:val="20"/>
          <w:highlight w:val="none"/>
        </w:rPr>
        <w:t>，甲方只</w:t>
      </w:r>
      <w:r>
        <w:rPr>
          <w:rFonts w:hint="eastAsia" w:ascii="仿宋" w:hAnsi="仿宋" w:eastAsia="仿宋" w:cs="仿宋"/>
          <w:color w:val="auto"/>
          <w:sz w:val="28"/>
          <w:szCs w:val="20"/>
          <w:highlight w:val="none"/>
        </w:rPr>
        <w:t>做</w:t>
      </w:r>
      <w:r>
        <w:rPr>
          <w:rFonts w:ascii="仿宋" w:hAnsi="仿宋" w:eastAsia="仿宋" w:cs="仿宋"/>
          <w:color w:val="auto"/>
          <w:sz w:val="28"/>
          <w:szCs w:val="20"/>
          <w:highlight w:val="none"/>
        </w:rPr>
        <w:t>必要的配合，</w:t>
      </w:r>
      <w:r>
        <w:rPr>
          <w:rFonts w:hint="eastAsia" w:ascii="仿宋" w:hAnsi="仿宋" w:eastAsia="仿宋" w:cs="仿宋"/>
          <w:color w:val="auto"/>
          <w:sz w:val="28"/>
          <w:szCs w:val="20"/>
          <w:highlight w:val="none"/>
        </w:rPr>
        <w:t>乙方</w:t>
      </w:r>
      <w:r>
        <w:rPr>
          <w:rFonts w:ascii="仿宋" w:hAnsi="仿宋" w:eastAsia="仿宋" w:cs="仿宋"/>
          <w:color w:val="auto"/>
          <w:sz w:val="28"/>
          <w:szCs w:val="20"/>
          <w:highlight w:val="none"/>
        </w:rPr>
        <w:t>不得以此类理由推诿。</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（十）乙方</w:t>
      </w:r>
      <w:r>
        <w:rPr>
          <w:rFonts w:ascii="仿宋" w:hAnsi="仿宋" w:eastAsia="仿宋" w:cs="仿宋"/>
          <w:color w:val="auto"/>
          <w:sz w:val="28"/>
          <w:szCs w:val="20"/>
          <w:highlight w:val="none"/>
        </w:rPr>
        <w:t>每日</w:t>
      </w:r>
      <w:r>
        <w:rPr>
          <w:rFonts w:hint="eastAsia" w:ascii="仿宋" w:hAnsi="仿宋" w:eastAsia="仿宋" w:cs="仿宋"/>
          <w:color w:val="auto"/>
          <w:sz w:val="28"/>
          <w:szCs w:val="20"/>
          <w:highlight w:val="none"/>
        </w:rPr>
        <w:t>对</w:t>
      </w:r>
      <w:r>
        <w:rPr>
          <w:rFonts w:ascii="仿宋" w:hAnsi="仿宋" w:eastAsia="仿宋" w:cs="仿宋"/>
          <w:color w:val="auto"/>
          <w:sz w:val="28"/>
          <w:szCs w:val="20"/>
          <w:highlight w:val="none"/>
        </w:rPr>
        <w:t>巡检范围内的景观照明设施进行检查并做好实时图文记录（</w:t>
      </w:r>
      <w:r>
        <w:rPr>
          <w:rFonts w:hint="eastAsia" w:ascii="仿宋" w:hAnsi="仿宋" w:eastAsia="仿宋" w:cs="仿宋"/>
          <w:color w:val="auto"/>
          <w:sz w:val="28"/>
          <w:szCs w:val="20"/>
          <w:highlight w:val="none"/>
        </w:rPr>
        <w:t>如</w:t>
      </w:r>
      <w:r>
        <w:rPr>
          <w:rFonts w:ascii="仿宋" w:hAnsi="仿宋" w:eastAsia="仿宋" w:cs="仿宋"/>
          <w:color w:val="auto"/>
          <w:sz w:val="28"/>
          <w:szCs w:val="20"/>
          <w:highlight w:val="none"/>
        </w:rPr>
        <w:t>视频、照片等）</w:t>
      </w:r>
      <w:r>
        <w:rPr>
          <w:rFonts w:hint="eastAsia" w:ascii="仿宋" w:hAnsi="仿宋" w:eastAsia="仿宋" w:cs="仿宋"/>
          <w:color w:val="auto"/>
          <w:sz w:val="28"/>
          <w:szCs w:val="20"/>
          <w:highlight w:val="none"/>
        </w:rPr>
        <w:t>，</w:t>
      </w:r>
      <w:r>
        <w:rPr>
          <w:rFonts w:ascii="仿宋" w:hAnsi="仿宋" w:eastAsia="仿宋" w:cs="仿宋"/>
          <w:color w:val="auto"/>
          <w:sz w:val="28"/>
          <w:szCs w:val="20"/>
          <w:highlight w:val="none"/>
        </w:rPr>
        <w:t>每月对巡检范围内的景观照明设施进行维护并做好实时文图记录（</w:t>
      </w:r>
      <w:r>
        <w:rPr>
          <w:rFonts w:hint="eastAsia" w:ascii="仿宋" w:hAnsi="仿宋" w:eastAsia="仿宋" w:cs="仿宋"/>
          <w:color w:val="auto"/>
          <w:sz w:val="28"/>
          <w:szCs w:val="20"/>
          <w:highlight w:val="none"/>
        </w:rPr>
        <w:t>如</w:t>
      </w:r>
      <w:r>
        <w:rPr>
          <w:rFonts w:ascii="仿宋" w:hAnsi="仿宋" w:eastAsia="仿宋" w:cs="仿宋"/>
          <w:color w:val="auto"/>
          <w:sz w:val="28"/>
          <w:szCs w:val="20"/>
          <w:highlight w:val="none"/>
        </w:rPr>
        <w:t>视频、照片等）</w:t>
      </w:r>
      <w:r>
        <w:rPr>
          <w:rFonts w:hint="eastAsia" w:ascii="仿宋" w:hAnsi="仿宋" w:eastAsia="仿宋" w:cs="仿宋"/>
          <w:color w:val="auto"/>
          <w:sz w:val="28"/>
          <w:szCs w:val="20"/>
          <w:highlight w:val="none"/>
        </w:rPr>
        <w:t>，每月月底</w:t>
      </w:r>
      <w:r>
        <w:rPr>
          <w:rFonts w:ascii="仿宋" w:hAnsi="仿宋" w:eastAsia="仿宋" w:cs="仿宋"/>
          <w:color w:val="auto"/>
          <w:sz w:val="28"/>
          <w:szCs w:val="20"/>
          <w:highlight w:val="none"/>
        </w:rPr>
        <w:t>最后一天将下个月的巡查计划</w:t>
      </w:r>
      <w:r>
        <w:rPr>
          <w:rFonts w:hint="eastAsia" w:ascii="仿宋" w:hAnsi="仿宋" w:eastAsia="仿宋" w:cs="仿宋"/>
          <w:color w:val="auto"/>
          <w:sz w:val="28"/>
          <w:szCs w:val="20"/>
          <w:highlight w:val="none"/>
        </w:rPr>
        <w:t>书面</w:t>
      </w:r>
      <w:r>
        <w:rPr>
          <w:rFonts w:ascii="仿宋" w:hAnsi="仿宋" w:eastAsia="仿宋" w:cs="仿宋"/>
          <w:color w:val="auto"/>
          <w:sz w:val="28"/>
          <w:szCs w:val="20"/>
          <w:highlight w:val="none"/>
        </w:rPr>
        <w:t>报</w:t>
      </w:r>
      <w:r>
        <w:rPr>
          <w:rFonts w:hint="eastAsia" w:ascii="仿宋" w:hAnsi="仿宋" w:eastAsia="仿宋" w:cs="仿宋"/>
          <w:color w:val="auto"/>
          <w:sz w:val="28"/>
          <w:szCs w:val="20"/>
          <w:highlight w:val="none"/>
        </w:rPr>
        <w:t>告</w:t>
      </w:r>
      <w:r>
        <w:rPr>
          <w:rFonts w:ascii="仿宋" w:hAnsi="仿宋" w:eastAsia="仿宋" w:cs="仿宋"/>
          <w:color w:val="auto"/>
          <w:sz w:val="28"/>
          <w:szCs w:val="20"/>
          <w:highlight w:val="none"/>
        </w:rPr>
        <w:t>甲方，</w:t>
      </w:r>
      <w:r>
        <w:rPr>
          <w:rFonts w:hint="eastAsia" w:ascii="仿宋" w:hAnsi="仿宋" w:eastAsia="仿宋" w:cs="仿宋"/>
          <w:color w:val="auto"/>
          <w:sz w:val="28"/>
          <w:szCs w:val="20"/>
          <w:highlight w:val="none"/>
        </w:rPr>
        <w:t>每月</w:t>
      </w:r>
      <w:r>
        <w:rPr>
          <w:rFonts w:ascii="仿宋" w:hAnsi="仿宋" w:eastAsia="仿宋" w:cs="仿宋"/>
          <w:color w:val="auto"/>
          <w:sz w:val="28"/>
          <w:szCs w:val="20"/>
          <w:highlight w:val="none"/>
        </w:rPr>
        <w:t>月初</w:t>
      </w:r>
      <w:r>
        <w:rPr>
          <w:rFonts w:hint="eastAsia" w:ascii="仿宋" w:hAnsi="仿宋" w:eastAsia="仿宋" w:cs="仿宋"/>
          <w:color w:val="auto"/>
          <w:sz w:val="28"/>
          <w:szCs w:val="20"/>
          <w:highlight w:val="none"/>
        </w:rPr>
        <w:t>5号</w:t>
      </w:r>
      <w:r>
        <w:rPr>
          <w:rFonts w:ascii="仿宋" w:hAnsi="仿宋" w:eastAsia="仿宋" w:cs="仿宋"/>
          <w:color w:val="auto"/>
          <w:sz w:val="28"/>
          <w:szCs w:val="20"/>
          <w:highlight w:val="none"/>
        </w:rPr>
        <w:t>前</w:t>
      </w:r>
      <w:r>
        <w:rPr>
          <w:rFonts w:hint="eastAsia" w:ascii="仿宋" w:hAnsi="仿宋" w:eastAsia="仿宋" w:cs="仿宋"/>
          <w:color w:val="auto"/>
          <w:sz w:val="28"/>
          <w:szCs w:val="20"/>
          <w:highlight w:val="none"/>
        </w:rPr>
        <w:t>将上个月</w:t>
      </w:r>
      <w:r>
        <w:rPr>
          <w:rFonts w:ascii="仿宋" w:hAnsi="仿宋" w:eastAsia="仿宋" w:cs="仿宋"/>
          <w:color w:val="auto"/>
          <w:sz w:val="28"/>
          <w:szCs w:val="20"/>
          <w:highlight w:val="none"/>
        </w:rPr>
        <w:t>的</w:t>
      </w:r>
      <w:r>
        <w:rPr>
          <w:rFonts w:hint="eastAsia" w:ascii="仿宋" w:hAnsi="仿宋" w:eastAsia="仿宋" w:cs="仿宋"/>
          <w:color w:val="auto"/>
          <w:sz w:val="28"/>
          <w:szCs w:val="20"/>
          <w:highlight w:val="none"/>
        </w:rPr>
        <w:t>日常管护工作资料书面报告甲方。做好</w:t>
      </w:r>
      <w:r>
        <w:rPr>
          <w:rFonts w:ascii="仿宋" w:hAnsi="仿宋" w:eastAsia="仿宋" w:cs="仿宋"/>
          <w:color w:val="auto"/>
          <w:sz w:val="28"/>
          <w:szCs w:val="20"/>
          <w:highlight w:val="none"/>
        </w:rPr>
        <w:t>巡查记录及资料保管工作，</w:t>
      </w:r>
      <w:r>
        <w:rPr>
          <w:rFonts w:hint="eastAsia" w:ascii="仿宋" w:hAnsi="仿宋" w:eastAsia="仿宋" w:cs="仿宋"/>
          <w:color w:val="auto"/>
          <w:sz w:val="28"/>
          <w:szCs w:val="20"/>
          <w:highlight w:val="none"/>
        </w:rPr>
        <w:t>保证每项</w:t>
      </w:r>
      <w:r>
        <w:rPr>
          <w:rFonts w:ascii="仿宋" w:hAnsi="仿宋" w:eastAsia="仿宋" w:cs="仿宋"/>
          <w:color w:val="auto"/>
          <w:sz w:val="28"/>
          <w:szCs w:val="20"/>
          <w:highlight w:val="none"/>
        </w:rPr>
        <w:t>工作有据可查，保证维护工作有条不紊</w:t>
      </w:r>
      <w:r>
        <w:rPr>
          <w:rFonts w:hint="eastAsia" w:ascii="仿宋" w:hAnsi="仿宋" w:eastAsia="仿宋" w:cs="仿宋"/>
          <w:color w:val="auto"/>
          <w:sz w:val="28"/>
          <w:szCs w:val="20"/>
          <w:highlight w:val="none"/>
        </w:rPr>
        <w:t>、</w:t>
      </w:r>
      <w:r>
        <w:rPr>
          <w:rFonts w:ascii="仿宋" w:hAnsi="仿宋" w:eastAsia="仿宋" w:cs="仿宋"/>
          <w:color w:val="auto"/>
          <w:sz w:val="28"/>
          <w:szCs w:val="20"/>
          <w:highlight w:val="none"/>
        </w:rPr>
        <w:t>落实到位</w:t>
      </w:r>
      <w:r>
        <w:rPr>
          <w:rFonts w:hint="eastAsia" w:ascii="仿宋" w:hAnsi="仿宋" w:eastAsia="仿宋" w:cs="仿宋"/>
          <w:color w:val="auto"/>
          <w:sz w:val="28"/>
          <w:szCs w:val="20"/>
          <w:highlight w:val="none"/>
        </w:rPr>
        <w:t>。</w:t>
      </w:r>
    </w:p>
    <w:p>
      <w:pPr>
        <w:spacing w:line="440" w:lineRule="exact"/>
        <w:ind w:firstLine="570"/>
        <w:rPr>
          <w:rFonts w:ascii="Times New Roman" w:hAnsi="Times New Roman" w:eastAsia="宋体" w:cs="Times New Roman"/>
          <w:color w:val="auto"/>
          <w:sz w:val="28"/>
          <w:szCs w:val="20"/>
          <w:highlight w:val="none"/>
        </w:rPr>
      </w:pPr>
      <w:r>
        <w:rPr>
          <w:rFonts w:hint="eastAsia" w:ascii="仿宋" w:hAnsi="仿宋" w:eastAsia="仿宋" w:cs="仿宋"/>
          <w:color w:val="auto"/>
          <w:sz w:val="28"/>
          <w:szCs w:val="20"/>
          <w:highlight w:val="none"/>
        </w:rPr>
        <w:t>（十</w:t>
      </w:r>
      <w:r>
        <w:rPr>
          <w:rFonts w:hint="eastAsia" w:ascii="仿宋" w:hAnsi="仿宋" w:eastAsia="仿宋" w:cs="仿宋"/>
          <w:color w:val="auto"/>
          <w:sz w:val="28"/>
          <w:szCs w:val="20"/>
          <w:highlight w:val="none"/>
          <w:lang w:eastAsia="zh-CN"/>
        </w:rPr>
        <w:t>一</w:t>
      </w:r>
      <w:r>
        <w:rPr>
          <w:rFonts w:ascii="仿宋" w:hAnsi="仿宋" w:eastAsia="仿宋" w:cs="仿宋"/>
          <w:color w:val="auto"/>
          <w:sz w:val="28"/>
          <w:szCs w:val="20"/>
          <w:highlight w:val="none"/>
        </w:rPr>
        <w:t>）</w:t>
      </w:r>
      <w:r>
        <w:rPr>
          <w:rFonts w:hint="eastAsia" w:ascii="仿宋" w:hAnsi="仿宋" w:eastAsia="仿宋" w:cs="仿宋"/>
          <w:color w:val="auto"/>
          <w:sz w:val="28"/>
          <w:szCs w:val="20"/>
          <w:highlight w:val="none"/>
        </w:rPr>
        <w:t>接</w:t>
      </w:r>
      <w:r>
        <w:rPr>
          <w:rFonts w:ascii="仿宋" w:hAnsi="仿宋" w:eastAsia="仿宋" w:cs="仿宋"/>
          <w:color w:val="auto"/>
          <w:sz w:val="28"/>
          <w:szCs w:val="20"/>
          <w:highlight w:val="none"/>
        </w:rPr>
        <w:t>甲方电话后，乙方应在</w:t>
      </w:r>
      <w:r>
        <w:rPr>
          <w:rFonts w:hint="eastAsia" w:ascii="仿宋" w:hAnsi="仿宋" w:eastAsia="仿宋" w:cs="仿宋"/>
          <w:color w:val="auto"/>
          <w:sz w:val="28"/>
          <w:szCs w:val="20"/>
          <w:highlight w:val="none"/>
        </w:rPr>
        <w:t>2小时</w:t>
      </w:r>
      <w:r>
        <w:rPr>
          <w:rFonts w:ascii="仿宋" w:hAnsi="仿宋" w:eastAsia="仿宋" w:cs="仿宋"/>
          <w:color w:val="auto"/>
          <w:sz w:val="28"/>
          <w:szCs w:val="20"/>
          <w:highlight w:val="none"/>
        </w:rPr>
        <w:t>内到达现场进行处理，普通维修应在</w:t>
      </w:r>
      <w:r>
        <w:rPr>
          <w:rFonts w:hint="eastAsia" w:ascii="仿宋" w:hAnsi="仿宋" w:eastAsia="仿宋" w:cs="仿宋"/>
          <w:color w:val="auto"/>
          <w:sz w:val="28"/>
          <w:szCs w:val="20"/>
          <w:highlight w:val="none"/>
        </w:rPr>
        <w:t>24小时</w:t>
      </w:r>
      <w:r>
        <w:rPr>
          <w:rFonts w:ascii="仿宋" w:hAnsi="仿宋" w:eastAsia="仿宋" w:cs="仿宋"/>
          <w:color w:val="auto"/>
          <w:sz w:val="28"/>
          <w:szCs w:val="20"/>
          <w:highlight w:val="none"/>
        </w:rPr>
        <w:t>内完成，较大维修问题应在</w:t>
      </w:r>
      <w:r>
        <w:rPr>
          <w:rFonts w:hint="eastAsia" w:ascii="仿宋" w:hAnsi="仿宋" w:eastAsia="仿宋" w:cs="仿宋"/>
          <w:color w:val="auto"/>
          <w:sz w:val="28"/>
          <w:szCs w:val="20"/>
          <w:highlight w:val="none"/>
        </w:rPr>
        <w:t>48小时</w:t>
      </w:r>
      <w:r>
        <w:rPr>
          <w:rFonts w:ascii="仿宋" w:hAnsi="仿宋" w:eastAsia="仿宋" w:cs="仿宋"/>
          <w:color w:val="auto"/>
          <w:sz w:val="28"/>
          <w:szCs w:val="20"/>
          <w:highlight w:val="none"/>
        </w:rPr>
        <w:t>内完成（</w:t>
      </w:r>
      <w:r>
        <w:rPr>
          <w:rFonts w:hint="eastAsia" w:ascii="仿宋" w:hAnsi="仿宋" w:eastAsia="仿宋" w:cs="仿宋"/>
          <w:color w:val="auto"/>
          <w:sz w:val="28"/>
          <w:szCs w:val="20"/>
          <w:highlight w:val="none"/>
        </w:rPr>
        <w:t>特殊</w:t>
      </w:r>
      <w:r>
        <w:rPr>
          <w:rFonts w:ascii="仿宋" w:hAnsi="仿宋" w:eastAsia="仿宋" w:cs="仿宋"/>
          <w:color w:val="auto"/>
          <w:sz w:val="28"/>
          <w:szCs w:val="20"/>
          <w:highlight w:val="none"/>
        </w:rPr>
        <w:t>情况除外）</w:t>
      </w:r>
      <w:r>
        <w:rPr>
          <w:rFonts w:hint="eastAsia" w:ascii="Times New Roman" w:hAnsi="Times New Roman" w:eastAsia="宋体" w:cs="Times New Roman"/>
          <w:color w:val="auto"/>
          <w:sz w:val="28"/>
          <w:szCs w:val="20"/>
          <w:highlight w:val="none"/>
        </w:rPr>
        <w:t>。</w:t>
      </w:r>
    </w:p>
    <w:p>
      <w:pPr>
        <w:widowControl w:val="0"/>
        <w:spacing w:line="440" w:lineRule="exact"/>
        <w:ind w:firstLine="560" w:firstLineChars="200"/>
        <w:jc w:val="both"/>
        <w:rPr>
          <w:rFonts w:ascii="仿宋" w:hAnsi="仿宋" w:eastAsia="仿宋" w:cs="仿宋"/>
          <w:color w:val="auto"/>
          <w:kern w:val="2"/>
          <w:sz w:val="28"/>
          <w:highlight w:val="none"/>
          <w:lang w:val="en-US" w:eastAsia="zh-CN" w:bidi="ar-SA"/>
        </w:rPr>
      </w:pPr>
      <w:r>
        <w:rPr>
          <w:rFonts w:hint="eastAsia" w:ascii="仿宋" w:hAnsi="仿宋" w:eastAsia="仿宋" w:cs="仿宋"/>
          <w:color w:val="auto"/>
          <w:kern w:val="2"/>
          <w:sz w:val="28"/>
          <w:highlight w:val="none"/>
          <w:lang w:val="en-US" w:eastAsia="zh-CN" w:bidi="ar-SA"/>
        </w:rPr>
        <w:t>（十二</w:t>
      </w:r>
      <w:r>
        <w:rPr>
          <w:rFonts w:ascii="仿宋" w:hAnsi="仿宋" w:eastAsia="仿宋" w:cs="仿宋"/>
          <w:color w:val="auto"/>
          <w:kern w:val="2"/>
          <w:sz w:val="28"/>
          <w:highlight w:val="none"/>
          <w:lang w:val="en-US" w:eastAsia="zh-CN" w:bidi="ar-SA"/>
        </w:rPr>
        <w:t>）</w:t>
      </w:r>
      <w:r>
        <w:rPr>
          <w:rFonts w:hint="eastAsia" w:ascii="仿宋" w:hAnsi="仿宋" w:eastAsia="仿宋" w:cs="仿宋"/>
          <w:color w:val="auto"/>
          <w:kern w:val="2"/>
          <w:sz w:val="28"/>
          <w:highlight w:val="none"/>
          <w:lang w:val="en-US" w:eastAsia="zh-CN" w:bidi="ar-SA"/>
        </w:rPr>
        <w:t>乙方</w:t>
      </w:r>
      <w:r>
        <w:rPr>
          <w:rFonts w:ascii="仿宋" w:hAnsi="仿宋" w:eastAsia="仿宋" w:cs="仿宋"/>
          <w:color w:val="auto"/>
          <w:kern w:val="2"/>
          <w:sz w:val="28"/>
          <w:highlight w:val="none"/>
          <w:lang w:val="en-US" w:eastAsia="zh-CN" w:bidi="ar-SA"/>
        </w:rPr>
        <w:t>在</w:t>
      </w:r>
      <w:r>
        <w:rPr>
          <w:rFonts w:hint="eastAsia" w:ascii="仿宋" w:hAnsi="仿宋" w:eastAsia="仿宋" w:cs="仿宋"/>
          <w:color w:val="auto"/>
          <w:kern w:val="2"/>
          <w:sz w:val="28"/>
          <w:highlight w:val="none"/>
          <w:lang w:val="en-US" w:eastAsia="zh-CN" w:bidi="ar-SA"/>
        </w:rPr>
        <w:t>其</w:t>
      </w:r>
      <w:r>
        <w:rPr>
          <w:rFonts w:ascii="仿宋" w:hAnsi="仿宋" w:eastAsia="仿宋" w:cs="仿宋"/>
          <w:color w:val="auto"/>
          <w:kern w:val="2"/>
          <w:sz w:val="28"/>
          <w:highlight w:val="none"/>
          <w:lang w:val="en-US" w:eastAsia="zh-CN" w:bidi="ar-SA"/>
        </w:rPr>
        <w:t>服务</w:t>
      </w:r>
      <w:r>
        <w:rPr>
          <w:rFonts w:hint="eastAsia" w:ascii="仿宋" w:hAnsi="仿宋" w:eastAsia="仿宋" w:cs="仿宋"/>
          <w:color w:val="auto"/>
          <w:kern w:val="2"/>
          <w:sz w:val="28"/>
          <w:highlight w:val="none"/>
          <w:lang w:val="en-US" w:eastAsia="zh-CN" w:bidi="ar-SA"/>
        </w:rPr>
        <w:t>期和</w:t>
      </w:r>
      <w:r>
        <w:rPr>
          <w:rFonts w:ascii="仿宋" w:hAnsi="仿宋" w:eastAsia="仿宋" w:cs="仿宋"/>
          <w:color w:val="auto"/>
          <w:kern w:val="2"/>
          <w:sz w:val="28"/>
          <w:highlight w:val="none"/>
          <w:lang w:val="en-US" w:eastAsia="zh-CN" w:bidi="ar-SA"/>
        </w:rPr>
        <w:t>保证服务质量的前提下</w:t>
      </w:r>
      <w:r>
        <w:rPr>
          <w:rFonts w:hint="eastAsia" w:ascii="仿宋" w:hAnsi="仿宋" w:eastAsia="仿宋" w:cs="仿宋"/>
          <w:color w:val="auto"/>
          <w:kern w:val="2"/>
          <w:sz w:val="28"/>
          <w:highlight w:val="none"/>
          <w:lang w:val="en-US" w:eastAsia="zh-CN" w:bidi="ar-SA"/>
        </w:rPr>
        <w:t>为</w:t>
      </w:r>
      <w:r>
        <w:rPr>
          <w:rFonts w:ascii="仿宋" w:hAnsi="仿宋" w:eastAsia="仿宋" w:cs="仿宋"/>
          <w:color w:val="auto"/>
          <w:kern w:val="2"/>
          <w:sz w:val="28"/>
          <w:highlight w:val="none"/>
          <w:lang w:val="en-US" w:eastAsia="zh-CN" w:bidi="ar-SA"/>
        </w:rPr>
        <w:t>甲方提供景观灯饰</w:t>
      </w:r>
      <w:r>
        <w:rPr>
          <w:rFonts w:hint="eastAsia" w:ascii="仿宋" w:hAnsi="仿宋" w:eastAsia="仿宋" w:cs="仿宋"/>
          <w:color w:val="auto"/>
          <w:kern w:val="2"/>
          <w:sz w:val="28"/>
          <w:highlight w:val="none"/>
          <w:lang w:val="en-US" w:eastAsia="zh-CN" w:bidi="ar-SA"/>
        </w:rPr>
        <w:t>维修</w:t>
      </w:r>
      <w:r>
        <w:rPr>
          <w:rFonts w:ascii="仿宋" w:hAnsi="仿宋" w:eastAsia="仿宋" w:cs="仿宋"/>
          <w:color w:val="auto"/>
          <w:kern w:val="2"/>
          <w:sz w:val="28"/>
          <w:highlight w:val="none"/>
          <w:lang w:val="en-US" w:eastAsia="zh-CN" w:bidi="ar-SA"/>
        </w:rPr>
        <w:t>维护服务。</w:t>
      </w:r>
      <w:r>
        <w:rPr>
          <w:rFonts w:hint="eastAsia" w:ascii="仿宋" w:hAnsi="仿宋" w:eastAsia="仿宋" w:cs="仿宋"/>
          <w:color w:val="auto"/>
          <w:kern w:val="2"/>
          <w:sz w:val="28"/>
          <w:highlight w:val="none"/>
          <w:lang w:val="en-US" w:eastAsia="zh-CN" w:bidi="ar-SA"/>
        </w:rPr>
        <w:t>但</w:t>
      </w:r>
      <w:r>
        <w:rPr>
          <w:rFonts w:ascii="仿宋" w:hAnsi="仿宋" w:eastAsia="仿宋" w:cs="仿宋"/>
          <w:color w:val="auto"/>
          <w:kern w:val="2"/>
          <w:sz w:val="28"/>
          <w:highlight w:val="none"/>
          <w:lang w:val="en-US" w:eastAsia="zh-CN" w:bidi="ar-SA"/>
        </w:rPr>
        <w:t>服务中的因乙方原因造成的一切风险（</w:t>
      </w:r>
      <w:r>
        <w:rPr>
          <w:rFonts w:hint="eastAsia" w:ascii="仿宋" w:hAnsi="仿宋" w:eastAsia="仿宋" w:cs="仿宋"/>
          <w:color w:val="auto"/>
          <w:kern w:val="2"/>
          <w:sz w:val="28"/>
          <w:highlight w:val="none"/>
          <w:lang w:val="en-US" w:eastAsia="zh-CN" w:bidi="ar-SA"/>
        </w:rPr>
        <w:t>包括</w:t>
      </w:r>
      <w:r>
        <w:rPr>
          <w:rFonts w:ascii="仿宋" w:hAnsi="仿宋" w:eastAsia="仿宋" w:cs="仿宋"/>
          <w:color w:val="auto"/>
          <w:kern w:val="2"/>
          <w:sz w:val="28"/>
          <w:highlight w:val="none"/>
          <w:lang w:val="en-US" w:eastAsia="zh-CN" w:bidi="ar-SA"/>
        </w:rPr>
        <w:t>但不限</w:t>
      </w:r>
      <w:r>
        <w:rPr>
          <w:rFonts w:hint="eastAsia" w:ascii="仿宋" w:hAnsi="仿宋" w:eastAsia="仿宋" w:cs="仿宋"/>
          <w:color w:val="auto"/>
          <w:kern w:val="2"/>
          <w:sz w:val="28"/>
          <w:highlight w:val="none"/>
          <w:lang w:val="en-US" w:eastAsia="zh-CN" w:bidi="ar-SA"/>
        </w:rPr>
        <w:t>于人员</w:t>
      </w:r>
      <w:r>
        <w:rPr>
          <w:rFonts w:ascii="仿宋" w:hAnsi="仿宋" w:eastAsia="仿宋" w:cs="仿宋"/>
          <w:color w:val="auto"/>
          <w:kern w:val="2"/>
          <w:sz w:val="28"/>
          <w:highlight w:val="none"/>
          <w:lang w:val="en-US" w:eastAsia="zh-CN" w:bidi="ar-SA"/>
        </w:rPr>
        <w:t>安全事故责任、与第三方的劳务纠纷、内部的劳务纠纷及第</w:t>
      </w:r>
      <w:r>
        <w:rPr>
          <w:rFonts w:hint="eastAsia" w:ascii="仿宋" w:hAnsi="仿宋" w:eastAsia="仿宋" w:cs="仿宋"/>
          <w:color w:val="auto"/>
          <w:kern w:val="2"/>
          <w:sz w:val="28"/>
          <w:highlight w:val="none"/>
          <w:lang w:val="en-US" w:eastAsia="zh-CN" w:bidi="ar-SA"/>
        </w:rPr>
        <w:t>三方</w:t>
      </w:r>
      <w:r>
        <w:rPr>
          <w:rFonts w:ascii="仿宋" w:hAnsi="仿宋" w:eastAsia="仿宋" w:cs="仿宋"/>
          <w:color w:val="auto"/>
          <w:kern w:val="2"/>
          <w:sz w:val="28"/>
          <w:highlight w:val="none"/>
          <w:lang w:val="en-US" w:eastAsia="zh-CN" w:bidi="ar-SA"/>
        </w:rPr>
        <w:t>的</w:t>
      </w:r>
      <w:r>
        <w:rPr>
          <w:rFonts w:hint="eastAsia" w:ascii="仿宋" w:hAnsi="仿宋" w:eastAsia="仿宋" w:cs="仿宋"/>
          <w:color w:val="auto"/>
          <w:kern w:val="2"/>
          <w:sz w:val="28"/>
          <w:highlight w:val="none"/>
          <w:lang w:val="en-US" w:eastAsia="zh-CN" w:bidi="ar-SA"/>
        </w:rPr>
        <w:t>人员</w:t>
      </w:r>
      <w:r>
        <w:rPr>
          <w:rFonts w:ascii="仿宋" w:hAnsi="仿宋" w:eastAsia="仿宋" w:cs="仿宋"/>
          <w:color w:val="auto"/>
          <w:kern w:val="2"/>
          <w:sz w:val="28"/>
          <w:highlight w:val="none"/>
          <w:lang w:val="en-US" w:eastAsia="zh-CN" w:bidi="ar-SA"/>
        </w:rPr>
        <w:t>伤害等）</w:t>
      </w:r>
      <w:r>
        <w:rPr>
          <w:rFonts w:hint="eastAsia" w:ascii="仿宋" w:hAnsi="仿宋" w:eastAsia="仿宋" w:cs="仿宋"/>
          <w:color w:val="auto"/>
          <w:kern w:val="2"/>
          <w:sz w:val="28"/>
          <w:highlight w:val="none"/>
          <w:lang w:val="en-US" w:eastAsia="zh-CN" w:bidi="ar-SA"/>
        </w:rPr>
        <w:t>均</w:t>
      </w:r>
      <w:r>
        <w:rPr>
          <w:rFonts w:ascii="仿宋" w:hAnsi="仿宋" w:eastAsia="仿宋" w:cs="仿宋"/>
          <w:color w:val="auto"/>
          <w:kern w:val="2"/>
          <w:sz w:val="28"/>
          <w:highlight w:val="none"/>
          <w:lang w:val="en-US" w:eastAsia="zh-CN" w:bidi="ar-SA"/>
        </w:rPr>
        <w:t>由乙方独自承担责任</w:t>
      </w:r>
      <w:r>
        <w:rPr>
          <w:rFonts w:hint="eastAsia" w:ascii="仿宋" w:hAnsi="仿宋" w:eastAsia="仿宋" w:cs="仿宋"/>
          <w:color w:val="auto"/>
          <w:kern w:val="2"/>
          <w:sz w:val="28"/>
          <w:highlight w:val="none"/>
          <w:lang w:val="en-US" w:eastAsia="zh-CN" w:bidi="ar-SA"/>
        </w:rPr>
        <w:t>。</w:t>
      </w:r>
      <w:r>
        <w:rPr>
          <w:rFonts w:ascii="仿宋" w:hAnsi="仿宋" w:eastAsia="仿宋" w:cs="仿宋"/>
          <w:color w:val="auto"/>
          <w:kern w:val="2"/>
          <w:sz w:val="28"/>
          <w:highlight w:val="none"/>
          <w:lang w:val="en-US" w:eastAsia="zh-CN" w:bidi="ar-SA"/>
        </w:rPr>
        <w:t>如</w:t>
      </w:r>
      <w:r>
        <w:rPr>
          <w:rFonts w:hint="eastAsia" w:ascii="仿宋" w:hAnsi="仿宋" w:eastAsia="仿宋" w:cs="仿宋"/>
          <w:color w:val="auto"/>
          <w:kern w:val="2"/>
          <w:sz w:val="28"/>
          <w:highlight w:val="none"/>
          <w:lang w:val="en-US" w:eastAsia="zh-CN" w:bidi="ar-SA"/>
        </w:rPr>
        <w:t>甲方</w:t>
      </w:r>
      <w:r>
        <w:rPr>
          <w:rFonts w:ascii="仿宋" w:hAnsi="仿宋" w:eastAsia="仿宋" w:cs="仿宋"/>
          <w:color w:val="auto"/>
          <w:kern w:val="2"/>
          <w:sz w:val="28"/>
          <w:highlight w:val="none"/>
          <w:lang w:val="en-US" w:eastAsia="zh-CN" w:bidi="ar-SA"/>
        </w:rPr>
        <w:t>因第三</w:t>
      </w:r>
      <w:r>
        <w:rPr>
          <w:rFonts w:hint="eastAsia" w:ascii="仿宋" w:hAnsi="仿宋" w:eastAsia="仿宋" w:cs="仿宋"/>
          <w:color w:val="auto"/>
          <w:kern w:val="2"/>
          <w:sz w:val="28"/>
          <w:highlight w:val="none"/>
          <w:lang w:val="en-US" w:eastAsia="zh-CN" w:bidi="ar-SA"/>
        </w:rPr>
        <w:t>人</w:t>
      </w:r>
      <w:r>
        <w:rPr>
          <w:rFonts w:ascii="仿宋" w:hAnsi="仿宋" w:eastAsia="仿宋" w:cs="仿宋"/>
          <w:color w:val="auto"/>
          <w:kern w:val="2"/>
          <w:sz w:val="28"/>
          <w:highlight w:val="none"/>
          <w:lang w:val="en-US" w:eastAsia="zh-CN" w:bidi="ar-SA"/>
        </w:rPr>
        <w:t>索赔等原因受到</w:t>
      </w:r>
      <w:r>
        <w:rPr>
          <w:rFonts w:hint="eastAsia" w:ascii="仿宋" w:hAnsi="仿宋" w:eastAsia="仿宋" w:cs="仿宋"/>
          <w:color w:val="auto"/>
          <w:kern w:val="2"/>
          <w:sz w:val="28"/>
          <w:highlight w:val="none"/>
          <w:lang w:val="en-US" w:eastAsia="zh-CN" w:bidi="ar-SA"/>
        </w:rPr>
        <w:t>损失</w:t>
      </w:r>
      <w:r>
        <w:rPr>
          <w:rFonts w:ascii="仿宋" w:hAnsi="仿宋" w:eastAsia="仿宋" w:cs="仿宋"/>
          <w:color w:val="auto"/>
          <w:kern w:val="2"/>
          <w:sz w:val="28"/>
          <w:highlight w:val="none"/>
          <w:lang w:val="en-US" w:eastAsia="zh-CN" w:bidi="ar-SA"/>
        </w:rPr>
        <w:t>，甲方有权向乙方进行追偿</w:t>
      </w:r>
      <w:r>
        <w:rPr>
          <w:rFonts w:hint="eastAsia" w:ascii="仿宋" w:hAnsi="仿宋" w:eastAsia="仿宋" w:cs="仿宋"/>
          <w:color w:val="auto"/>
          <w:kern w:val="2"/>
          <w:sz w:val="28"/>
          <w:highlight w:val="none"/>
          <w:lang w:val="en-US" w:eastAsia="zh-CN" w:bidi="ar-SA"/>
        </w:rPr>
        <w:t>。</w:t>
      </w:r>
    </w:p>
    <w:p>
      <w:pPr>
        <w:spacing w:line="440" w:lineRule="exact"/>
        <w:ind w:firstLine="57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（十</w:t>
      </w:r>
      <w:r>
        <w:rPr>
          <w:rFonts w:hint="eastAsia" w:ascii="仿宋" w:hAnsi="仿宋" w:eastAsia="仿宋" w:cs="仿宋"/>
          <w:color w:val="auto"/>
          <w:sz w:val="28"/>
          <w:szCs w:val="20"/>
          <w:highlight w:val="none"/>
          <w:lang w:eastAsia="zh-CN"/>
        </w:rPr>
        <w:t>三</w:t>
      </w:r>
      <w:r>
        <w:rPr>
          <w:rFonts w:ascii="仿宋" w:hAnsi="仿宋" w:eastAsia="仿宋" w:cs="仿宋"/>
          <w:color w:val="auto"/>
          <w:sz w:val="28"/>
          <w:szCs w:val="20"/>
          <w:highlight w:val="none"/>
        </w:rPr>
        <w:t>）</w:t>
      </w:r>
      <w:r>
        <w:rPr>
          <w:rFonts w:hint="eastAsia" w:ascii="仿宋" w:hAnsi="仿宋" w:eastAsia="仿宋" w:cs="仿宋"/>
          <w:color w:val="auto"/>
          <w:sz w:val="28"/>
          <w:szCs w:val="20"/>
          <w:highlight w:val="none"/>
        </w:rPr>
        <w:t>乙方应</w:t>
      </w:r>
      <w:r>
        <w:rPr>
          <w:rFonts w:ascii="仿宋" w:hAnsi="仿宋" w:eastAsia="仿宋" w:cs="仿宋"/>
          <w:color w:val="auto"/>
          <w:sz w:val="28"/>
          <w:szCs w:val="20"/>
          <w:highlight w:val="none"/>
        </w:rPr>
        <w:t>配合甲方，按照要求对乙方日常管理维护工作进行</w:t>
      </w:r>
      <w:r>
        <w:rPr>
          <w:rFonts w:hint="eastAsia" w:ascii="仿宋" w:hAnsi="仿宋" w:eastAsia="仿宋" w:cs="仿宋"/>
          <w:color w:val="auto"/>
          <w:sz w:val="28"/>
          <w:szCs w:val="20"/>
          <w:highlight w:val="none"/>
        </w:rPr>
        <w:t>核查</w:t>
      </w:r>
      <w:r>
        <w:rPr>
          <w:rFonts w:ascii="仿宋" w:hAnsi="仿宋" w:eastAsia="仿宋" w:cs="仿宋"/>
          <w:color w:val="auto"/>
          <w:sz w:val="28"/>
          <w:szCs w:val="20"/>
          <w:highlight w:val="none"/>
        </w:rPr>
        <w:t>考核。乙方</w:t>
      </w:r>
      <w:r>
        <w:rPr>
          <w:rFonts w:hint="eastAsia" w:ascii="仿宋" w:hAnsi="仿宋" w:eastAsia="仿宋" w:cs="仿宋"/>
          <w:color w:val="auto"/>
          <w:sz w:val="28"/>
          <w:szCs w:val="20"/>
          <w:highlight w:val="none"/>
        </w:rPr>
        <w:t>不予</w:t>
      </w:r>
      <w:r>
        <w:rPr>
          <w:rFonts w:ascii="仿宋" w:hAnsi="仿宋" w:eastAsia="仿宋" w:cs="仿宋"/>
          <w:color w:val="auto"/>
          <w:sz w:val="28"/>
          <w:szCs w:val="20"/>
          <w:highlight w:val="none"/>
        </w:rPr>
        <w:t>配合、消极配合或检查考核未达到要求的，根据</w:t>
      </w:r>
      <w:r>
        <w:rPr>
          <w:rFonts w:hint="eastAsia" w:ascii="仿宋" w:hAnsi="仿宋" w:eastAsia="仿宋" w:cs="仿宋"/>
          <w:color w:val="auto"/>
          <w:sz w:val="28"/>
          <w:szCs w:val="20"/>
          <w:highlight w:val="none"/>
        </w:rPr>
        <w:t>考核</w:t>
      </w:r>
      <w:r>
        <w:rPr>
          <w:rFonts w:ascii="仿宋" w:hAnsi="仿宋" w:eastAsia="仿宋" w:cs="仿宋"/>
          <w:color w:val="auto"/>
          <w:sz w:val="28"/>
          <w:szCs w:val="20"/>
          <w:highlight w:val="none"/>
        </w:rPr>
        <w:t>办法的约定，接</w:t>
      </w:r>
      <w:r>
        <w:rPr>
          <w:rFonts w:hint="eastAsia" w:ascii="仿宋" w:hAnsi="仿宋" w:eastAsia="仿宋" w:cs="仿宋"/>
          <w:color w:val="auto"/>
          <w:sz w:val="28"/>
          <w:szCs w:val="20"/>
          <w:highlight w:val="none"/>
          <w:lang w:val="en-US" w:eastAsia="zh-CN"/>
        </w:rPr>
        <w:t>受</w:t>
      </w:r>
      <w:r>
        <w:rPr>
          <w:rFonts w:ascii="仿宋" w:hAnsi="仿宋" w:eastAsia="仿宋" w:cs="仿宋"/>
          <w:color w:val="auto"/>
          <w:sz w:val="28"/>
          <w:szCs w:val="20"/>
          <w:highlight w:val="none"/>
        </w:rPr>
        <w:t>相应的处理。</w:t>
      </w:r>
    </w:p>
    <w:p>
      <w:pPr>
        <w:widowControl w:val="0"/>
        <w:spacing w:line="440" w:lineRule="exact"/>
        <w:ind w:firstLine="573"/>
        <w:jc w:val="both"/>
        <w:rPr>
          <w:rFonts w:ascii="仿宋" w:hAnsi="仿宋" w:eastAsia="仿宋" w:cs="仿宋"/>
          <w:color w:val="auto"/>
          <w:kern w:val="2"/>
          <w:sz w:val="28"/>
          <w:highlight w:val="none"/>
          <w:lang w:val="en-US" w:eastAsia="zh-CN" w:bidi="ar-SA"/>
        </w:rPr>
      </w:pPr>
      <w:r>
        <w:rPr>
          <w:rFonts w:hint="eastAsia" w:ascii="仿宋" w:hAnsi="仿宋" w:eastAsia="仿宋" w:cs="仿宋"/>
          <w:color w:val="auto"/>
          <w:kern w:val="2"/>
          <w:sz w:val="28"/>
          <w:highlight w:val="none"/>
          <w:lang w:val="en-US" w:eastAsia="zh-CN" w:bidi="ar-SA"/>
        </w:rPr>
        <w:t>（十四</w:t>
      </w:r>
      <w:r>
        <w:rPr>
          <w:rFonts w:ascii="仿宋" w:hAnsi="仿宋" w:eastAsia="仿宋" w:cs="仿宋"/>
          <w:color w:val="auto"/>
          <w:kern w:val="2"/>
          <w:sz w:val="28"/>
          <w:highlight w:val="none"/>
          <w:lang w:val="en-US" w:eastAsia="zh-CN" w:bidi="ar-SA"/>
        </w:rPr>
        <w:t>）</w:t>
      </w:r>
      <w:r>
        <w:rPr>
          <w:rFonts w:hint="eastAsia" w:ascii="仿宋" w:hAnsi="仿宋" w:eastAsia="仿宋" w:cs="仿宋"/>
          <w:color w:val="auto"/>
          <w:kern w:val="2"/>
          <w:sz w:val="28"/>
          <w:highlight w:val="none"/>
          <w:lang w:val="en-US" w:eastAsia="zh-CN" w:bidi="ar-SA"/>
        </w:rPr>
        <w:t>乙方</w:t>
      </w:r>
      <w:r>
        <w:rPr>
          <w:rFonts w:ascii="仿宋" w:hAnsi="仿宋" w:eastAsia="仿宋" w:cs="仿宋"/>
          <w:color w:val="auto"/>
          <w:kern w:val="2"/>
          <w:sz w:val="28"/>
          <w:highlight w:val="none"/>
          <w:lang w:val="en-US" w:eastAsia="zh-CN" w:bidi="ar-SA"/>
        </w:rPr>
        <w:t>承担工程施工中劳动人身保险，火灾保险</w:t>
      </w:r>
      <w:r>
        <w:rPr>
          <w:rFonts w:hint="eastAsia" w:ascii="仿宋" w:hAnsi="仿宋" w:eastAsia="仿宋" w:cs="仿宋"/>
          <w:color w:val="auto"/>
          <w:kern w:val="2"/>
          <w:sz w:val="28"/>
          <w:highlight w:val="none"/>
          <w:lang w:val="en-US" w:eastAsia="zh-CN" w:bidi="ar-SA"/>
        </w:rPr>
        <w:t>，</w:t>
      </w:r>
      <w:r>
        <w:rPr>
          <w:rFonts w:ascii="仿宋" w:hAnsi="仿宋" w:eastAsia="仿宋" w:cs="仿宋"/>
          <w:color w:val="auto"/>
          <w:kern w:val="2"/>
          <w:sz w:val="28"/>
          <w:highlight w:val="none"/>
          <w:lang w:val="en-US" w:eastAsia="zh-CN" w:bidi="ar-SA"/>
        </w:rPr>
        <w:t>建筑工程一切保险，安装工程一切保险，以及施工中劳动保护、自身的财产、施工现场内的自身员工或第三方人身伤害和财产损失、从事危险作业员工的意外伤害、安全事故等</w:t>
      </w:r>
      <w:r>
        <w:rPr>
          <w:rFonts w:hint="eastAsia" w:ascii="仿宋" w:hAnsi="仿宋" w:eastAsia="仿宋" w:cs="仿宋"/>
          <w:color w:val="auto"/>
          <w:kern w:val="2"/>
          <w:sz w:val="28"/>
          <w:highlight w:val="none"/>
          <w:lang w:val="en-US" w:eastAsia="zh-CN" w:bidi="ar-SA"/>
        </w:rPr>
        <w:t>责任</w:t>
      </w:r>
      <w:r>
        <w:rPr>
          <w:rFonts w:ascii="仿宋" w:hAnsi="仿宋" w:eastAsia="仿宋" w:cs="仿宋"/>
          <w:color w:val="auto"/>
          <w:kern w:val="2"/>
          <w:sz w:val="28"/>
          <w:highlight w:val="none"/>
          <w:lang w:val="en-US" w:eastAsia="zh-CN" w:bidi="ar-SA"/>
        </w:rPr>
        <w:t>及其费用。甲方</w:t>
      </w:r>
      <w:r>
        <w:rPr>
          <w:rFonts w:hint="eastAsia" w:ascii="仿宋" w:hAnsi="仿宋" w:eastAsia="仿宋" w:cs="仿宋"/>
          <w:color w:val="auto"/>
          <w:kern w:val="2"/>
          <w:sz w:val="28"/>
          <w:highlight w:val="none"/>
          <w:lang w:val="en-US" w:eastAsia="zh-CN" w:bidi="ar-SA"/>
        </w:rPr>
        <w:t>不</w:t>
      </w:r>
      <w:r>
        <w:rPr>
          <w:rFonts w:ascii="仿宋" w:hAnsi="仿宋" w:eastAsia="仿宋" w:cs="仿宋"/>
          <w:color w:val="auto"/>
          <w:kern w:val="2"/>
          <w:sz w:val="28"/>
          <w:highlight w:val="none"/>
          <w:lang w:val="en-US" w:eastAsia="zh-CN" w:bidi="ar-SA"/>
        </w:rPr>
        <w:t>承担任何责任及其费用。乙方在没有妥善处理完事故所涉</w:t>
      </w:r>
      <w:r>
        <w:rPr>
          <w:rFonts w:hint="eastAsia" w:ascii="仿宋" w:hAnsi="仿宋" w:eastAsia="仿宋" w:cs="仿宋"/>
          <w:color w:val="auto"/>
          <w:kern w:val="2"/>
          <w:sz w:val="28"/>
          <w:highlight w:val="none"/>
          <w:lang w:val="en-US" w:eastAsia="zh-CN" w:bidi="ar-SA"/>
        </w:rPr>
        <w:t>所有</w:t>
      </w:r>
      <w:r>
        <w:rPr>
          <w:rFonts w:ascii="仿宋" w:hAnsi="仿宋" w:eastAsia="仿宋" w:cs="仿宋"/>
          <w:color w:val="auto"/>
          <w:kern w:val="2"/>
          <w:sz w:val="28"/>
          <w:highlight w:val="none"/>
          <w:lang w:val="en-US" w:eastAsia="zh-CN" w:bidi="ar-SA"/>
        </w:rPr>
        <w:t>事宜前，甲方有权暂停支付本合同款项，待事故相关</w:t>
      </w:r>
      <w:r>
        <w:rPr>
          <w:rFonts w:hint="eastAsia" w:ascii="仿宋" w:hAnsi="仿宋" w:eastAsia="仿宋" w:cs="仿宋"/>
          <w:color w:val="auto"/>
          <w:kern w:val="2"/>
          <w:sz w:val="28"/>
          <w:highlight w:val="none"/>
          <w:lang w:val="en-US" w:eastAsia="zh-CN" w:bidi="ar-SA"/>
        </w:rPr>
        <w:t>事宜</w:t>
      </w:r>
      <w:r>
        <w:rPr>
          <w:rFonts w:ascii="仿宋" w:hAnsi="仿宋" w:eastAsia="仿宋" w:cs="仿宋"/>
          <w:color w:val="auto"/>
          <w:kern w:val="2"/>
          <w:sz w:val="28"/>
          <w:highlight w:val="none"/>
          <w:lang w:val="en-US" w:eastAsia="zh-CN" w:bidi="ar-SA"/>
        </w:rPr>
        <w:t>均处理完毕后再支付给乙方。</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lang w:val="en-US" w:eastAsia="zh-CN"/>
        </w:rPr>
        <w:t>六</w:t>
      </w:r>
      <w:r>
        <w:rPr>
          <w:rFonts w:hint="eastAsia" w:ascii="仿宋" w:hAnsi="仿宋" w:eastAsia="仿宋" w:cs="仿宋"/>
          <w:color w:val="auto"/>
          <w:sz w:val="28"/>
          <w:szCs w:val="20"/>
          <w:highlight w:val="none"/>
        </w:rPr>
        <w:t>、违约责任</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一</w:t>
      </w:r>
      <w:r>
        <w:rPr>
          <w:rFonts w:hint="eastAsia" w:ascii="仿宋" w:hAnsi="仿宋" w:eastAsia="仿宋" w:cs="仿宋"/>
          <w:color w:val="auto"/>
          <w:sz w:val="28"/>
          <w:szCs w:val="20"/>
          <w:highlight w:val="none"/>
        </w:rPr>
        <w:t>）甲方检查发现灯饰运行中的问题，乙方接到通知后，须按时予以修复，否则，一次扣</w:t>
      </w:r>
      <w:r>
        <w:rPr>
          <w:rFonts w:ascii="仿宋" w:hAnsi="仿宋" w:eastAsia="仿宋" w:cs="仿宋"/>
          <w:color w:val="auto"/>
          <w:sz w:val="28"/>
          <w:szCs w:val="20"/>
          <w:highlight w:val="none"/>
        </w:rPr>
        <w:t>除</w:t>
      </w:r>
      <w:r>
        <w:rPr>
          <w:rFonts w:hint="eastAsia" w:ascii="仿宋" w:hAnsi="仿宋" w:eastAsia="仿宋" w:cs="仿宋"/>
          <w:color w:val="auto"/>
          <w:sz w:val="28"/>
          <w:szCs w:val="20"/>
          <w:highlight w:val="none"/>
        </w:rPr>
        <w:t>人民币200～500元（在</w:t>
      </w:r>
      <w:r>
        <w:rPr>
          <w:rFonts w:hint="default" w:ascii="仿宋" w:hAnsi="仿宋" w:eastAsia="仿宋" w:cs="仿宋"/>
          <w:color w:val="auto"/>
          <w:sz w:val="28"/>
          <w:szCs w:val="20"/>
          <w:highlight w:val="none"/>
          <w:lang w:val="en-US"/>
        </w:rPr>
        <w:t>日常管护费</w:t>
      </w:r>
      <w:r>
        <w:rPr>
          <w:rFonts w:hint="eastAsia" w:ascii="仿宋" w:hAnsi="仿宋" w:eastAsia="仿宋" w:cs="仿宋"/>
          <w:color w:val="auto"/>
          <w:sz w:val="28"/>
          <w:szCs w:val="20"/>
          <w:highlight w:val="none"/>
        </w:rPr>
        <w:t>中扣除）。每季度内，类似情况出现3次以上，甲方有权终止合同，并不再支付当年度已发生的</w:t>
      </w:r>
      <w:r>
        <w:rPr>
          <w:rFonts w:hint="default" w:ascii="仿宋" w:hAnsi="仿宋" w:eastAsia="仿宋" w:cs="仿宋"/>
          <w:color w:val="auto"/>
          <w:sz w:val="28"/>
          <w:szCs w:val="20"/>
          <w:highlight w:val="none"/>
          <w:lang w:val="en-US"/>
        </w:rPr>
        <w:t>日常管护费</w:t>
      </w:r>
      <w:r>
        <w:rPr>
          <w:rFonts w:hint="eastAsia" w:ascii="仿宋" w:hAnsi="仿宋" w:eastAsia="仿宋" w:cs="仿宋"/>
          <w:color w:val="auto"/>
          <w:sz w:val="28"/>
          <w:szCs w:val="20"/>
          <w:highlight w:val="none"/>
        </w:rPr>
        <w:t>。</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二</w:t>
      </w:r>
      <w:r>
        <w:rPr>
          <w:rFonts w:hint="eastAsia" w:ascii="仿宋" w:hAnsi="仿宋" w:eastAsia="仿宋" w:cs="仿宋"/>
          <w:color w:val="auto"/>
          <w:sz w:val="28"/>
          <w:szCs w:val="20"/>
          <w:highlight w:val="none"/>
        </w:rPr>
        <w:t>）乙方要保证灯具的完好率，出现灯具损坏要在24小时内及时进行修复，否则，每发现一次，扣</w:t>
      </w:r>
      <w:r>
        <w:rPr>
          <w:rFonts w:ascii="仿宋" w:hAnsi="仿宋" w:eastAsia="仿宋" w:cs="仿宋"/>
          <w:color w:val="auto"/>
          <w:sz w:val="28"/>
          <w:szCs w:val="20"/>
          <w:highlight w:val="none"/>
        </w:rPr>
        <w:t>除</w:t>
      </w:r>
      <w:r>
        <w:rPr>
          <w:rFonts w:hint="eastAsia" w:ascii="仿宋" w:hAnsi="仿宋" w:eastAsia="仿宋" w:cs="仿宋"/>
          <w:color w:val="auto"/>
          <w:sz w:val="28"/>
          <w:szCs w:val="20"/>
          <w:highlight w:val="none"/>
        </w:rPr>
        <w:t>人民币100～200元（在</w:t>
      </w:r>
      <w:r>
        <w:rPr>
          <w:rFonts w:hint="default" w:ascii="仿宋" w:hAnsi="仿宋" w:eastAsia="仿宋" w:cs="仿宋"/>
          <w:color w:val="auto"/>
          <w:sz w:val="28"/>
          <w:szCs w:val="20"/>
          <w:highlight w:val="none"/>
          <w:lang w:val="en-US"/>
        </w:rPr>
        <w:t>日常管护费</w:t>
      </w:r>
      <w:r>
        <w:rPr>
          <w:rFonts w:hint="eastAsia" w:ascii="仿宋" w:hAnsi="仿宋" w:eastAsia="仿宋" w:cs="仿宋"/>
          <w:color w:val="auto"/>
          <w:sz w:val="28"/>
          <w:szCs w:val="20"/>
          <w:highlight w:val="none"/>
        </w:rPr>
        <w:t>中扣除）。每季度内，类似情况出现3次以上，甲方有权终止合同，并不再支付当年度已发生的日常管护费。</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三</w:t>
      </w:r>
      <w:r>
        <w:rPr>
          <w:rFonts w:hint="eastAsia" w:ascii="仿宋" w:hAnsi="仿宋" w:eastAsia="仿宋" w:cs="仿宋"/>
          <w:color w:val="auto"/>
          <w:sz w:val="28"/>
          <w:szCs w:val="20"/>
          <w:highlight w:val="none"/>
        </w:rPr>
        <w:t>）因乙方日常管护工作不到位等原因，造成灯饰通夜亮灯，乙方除承担超时亮灯的电费外，并一次扣除人民币2000元（在日常管护费中扣除）；如果由此被新闻媒体曝光或上级批评，造成较坏影响，乙方除接受上述处罚外，再加扣除人民币5000元（在</w:t>
      </w:r>
      <w:r>
        <w:rPr>
          <w:rFonts w:hint="default" w:ascii="仿宋" w:hAnsi="仿宋" w:eastAsia="仿宋" w:cs="仿宋"/>
          <w:color w:val="auto"/>
          <w:sz w:val="28"/>
          <w:szCs w:val="20"/>
          <w:highlight w:val="none"/>
          <w:lang w:val="en-US"/>
        </w:rPr>
        <w:t>日常管护费</w:t>
      </w:r>
      <w:r>
        <w:rPr>
          <w:rFonts w:hint="eastAsia" w:ascii="仿宋" w:hAnsi="仿宋" w:eastAsia="仿宋" w:cs="仿宋"/>
          <w:color w:val="auto"/>
          <w:sz w:val="28"/>
          <w:szCs w:val="20"/>
          <w:highlight w:val="none"/>
        </w:rPr>
        <w:t>中扣除），并向灯饰主管部门</w:t>
      </w:r>
      <w:r>
        <w:rPr>
          <w:rFonts w:hint="eastAsia" w:ascii="仿宋" w:hAnsi="仿宋" w:eastAsia="仿宋" w:cs="仿宋"/>
          <w:color w:val="auto"/>
          <w:sz w:val="28"/>
          <w:szCs w:val="20"/>
          <w:highlight w:val="none"/>
          <w:lang w:val="en-US" w:eastAsia="zh-CN"/>
        </w:rPr>
        <w:t>及甲方</w:t>
      </w:r>
      <w:r>
        <w:rPr>
          <w:rFonts w:hint="eastAsia" w:ascii="仿宋" w:hAnsi="仿宋" w:eastAsia="仿宋" w:cs="仿宋"/>
          <w:color w:val="auto"/>
          <w:sz w:val="28"/>
          <w:szCs w:val="20"/>
          <w:highlight w:val="none"/>
        </w:rPr>
        <w:t>作出书面检查。每季度内，类似情况出现3次以上，甲方有权终止合同，并不再支付当年度已发生的日常管护费。</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四</w:t>
      </w:r>
      <w:r>
        <w:rPr>
          <w:rFonts w:hint="eastAsia" w:ascii="仿宋" w:hAnsi="仿宋" w:eastAsia="仿宋" w:cs="仿宋"/>
          <w:color w:val="auto"/>
          <w:sz w:val="28"/>
          <w:szCs w:val="20"/>
          <w:highlight w:val="none"/>
        </w:rPr>
        <w:t>）乙方在灯饰维护管理中，灯具</w:t>
      </w:r>
      <w:r>
        <w:rPr>
          <w:rFonts w:ascii="仿宋" w:hAnsi="仿宋" w:eastAsia="仿宋" w:cs="仿宋"/>
          <w:color w:val="auto"/>
          <w:sz w:val="28"/>
          <w:szCs w:val="20"/>
          <w:highlight w:val="none"/>
        </w:rPr>
        <w:t>及灯具中的各种电器在更换维修时必须使用原</w:t>
      </w:r>
      <w:r>
        <w:rPr>
          <w:rFonts w:hint="eastAsia" w:ascii="仿宋" w:hAnsi="仿宋" w:eastAsia="仿宋" w:cs="仿宋"/>
          <w:color w:val="auto"/>
          <w:sz w:val="28"/>
          <w:szCs w:val="20"/>
          <w:highlight w:val="none"/>
        </w:rPr>
        <w:t>规格</w:t>
      </w:r>
      <w:r>
        <w:rPr>
          <w:rFonts w:ascii="仿宋" w:hAnsi="仿宋" w:eastAsia="仿宋" w:cs="仿宋"/>
          <w:color w:val="auto"/>
          <w:sz w:val="28"/>
          <w:szCs w:val="20"/>
          <w:highlight w:val="none"/>
        </w:rPr>
        <w:t>，原品牌（</w:t>
      </w:r>
      <w:r>
        <w:rPr>
          <w:rFonts w:hint="eastAsia" w:ascii="仿宋" w:hAnsi="仿宋" w:eastAsia="仿宋" w:cs="仿宋"/>
          <w:color w:val="auto"/>
          <w:sz w:val="28"/>
          <w:szCs w:val="20"/>
          <w:highlight w:val="none"/>
        </w:rPr>
        <w:t>若</w:t>
      </w:r>
      <w:r>
        <w:rPr>
          <w:rFonts w:ascii="仿宋" w:hAnsi="仿宋" w:eastAsia="仿宋" w:cs="仿宋"/>
          <w:color w:val="auto"/>
          <w:sz w:val="28"/>
          <w:szCs w:val="20"/>
          <w:highlight w:val="none"/>
        </w:rPr>
        <w:t>原品牌产品停产或其他原因导致无法采购，须使用</w:t>
      </w:r>
      <w:r>
        <w:rPr>
          <w:rFonts w:hint="eastAsia" w:ascii="仿宋" w:hAnsi="仿宋" w:eastAsia="仿宋" w:cs="仿宋"/>
          <w:color w:val="auto"/>
          <w:sz w:val="28"/>
          <w:szCs w:val="20"/>
          <w:highlight w:val="none"/>
        </w:rPr>
        <w:t>不低于</w:t>
      </w:r>
      <w:r>
        <w:rPr>
          <w:rFonts w:ascii="仿宋" w:hAnsi="仿宋" w:eastAsia="仿宋" w:cs="仿宋"/>
          <w:color w:val="auto"/>
          <w:sz w:val="28"/>
          <w:szCs w:val="20"/>
          <w:highlight w:val="none"/>
        </w:rPr>
        <w:t>原品牌的灯具和配件）</w:t>
      </w:r>
      <w:r>
        <w:rPr>
          <w:rFonts w:hint="eastAsia" w:ascii="仿宋" w:hAnsi="仿宋" w:eastAsia="仿宋" w:cs="仿宋"/>
          <w:color w:val="auto"/>
          <w:sz w:val="28"/>
          <w:szCs w:val="20"/>
          <w:highlight w:val="none"/>
        </w:rPr>
        <w:t>的</w:t>
      </w:r>
      <w:r>
        <w:rPr>
          <w:rFonts w:ascii="仿宋" w:hAnsi="仿宋" w:eastAsia="仿宋" w:cs="仿宋"/>
          <w:color w:val="auto"/>
          <w:sz w:val="28"/>
          <w:szCs w:val="20"/>
          <w:highlight w:val="none"/>
        </w:rPr>
        <w:t>合格产品，</w:t>
      </w:r>
      <w:r>
        <w:rPr>
          <w:rFonts w:hint="eastAsia" w:ascii="仿宋" w:hAnsi="仿宋" w:eastAsia="仿宋" w:cs="仿宋"/>
          <w:color w:val="auto"/>
          <w:sz w:val="28"/>
          <w:szCs w:val="20"/>
          <w:highlight w:val="none"/>
        </w:rPr>
        <w:t>所有</w:t>
      </w:r>
      <w:r>
        <w:rPr>
          <w:rFonts w:ascii="仿宋" w:hAnsi="仿宋" w:eastAsia="仿宋" w:cs="仿宋"/>
          <w:color w:val="auto"/>
          <w:sz w:val="28"/>
          <w:szCs w:val="20"/>
          <w:highlight w:val="none"/>
        </w:rPr>
        <w:t>更换的灯具型号必须提供</w:t>
      </w:r>
      <w:r>
        <w:rPr>
          <w:rFonts w:hint="eastAsia" w:ascii="仿宋" w:hAnsi="仿宋" w:eastAsia="仿宋" w:cs="仿宋"/>
          <w:color w:val="auto"/>
          <w:sz w:val="28"/>
          <w:szCs w:val="20"/>
          <w:highlight w:val="none"/>
        </w:rPr>
        <w:t>相应</w:t>
      </w:r>
      <w:r>
        <w:rPr>
          <w:rFonts w:ascii="仿宋" w:hAnsi="仿宋" w:eastAsia="仿宋" w:cs="仿宋"/>
          <w:color w:val="auto"/>
          <w:sz w:val="28"/>
          <w:szCs w:val="20"/>
          <w:highlight w:val="none"/>
        </w:rPr>
        <w:t>的检验报告。</w:t>
      </w:r>
      <w:r>
        <w:rPr>
          <w:rFonts w:hint="eastAsia" w:ascii="仿宋" w:hAnsi="仿宋" w:eastAsia="仿宋" w:cs="仿宋"/>
          <w:color w:val="auto"/>
          <w:sz w:val="28"/>
          <w:szCs w:val="20"/>
          <w:highlight w:val="none"/>
        </w:rPr>
        <w:t>如出现所用材料、设备不符合质量要求或配制规格降低，投光灯、三防灯等灯具没有配置补偿电容，乙方必须立即自行整改，及时纠正。如甲方发现乙方已使用不符合要求的材料、设备，乙方必须在24小时内予以纠正，出现一次扣除人民币1000元（在</w:t>
      </w:r>
      <w:r>
        <w:rPr>
          <w:rFonts w:hint="default" w:ascii="仿宋" w:hAnsi="仿宋" w:eastAsia="仿宋" w:cs="仿宋"/>
          <w:color w:val="auto"/>
          <w:sz w:val="28"/>
          <w:szCs w:val="20"/>
          <w:highlight w:val="none"/>
          <w:lang w:val="en-US"/>
        </w:rPr>
        <w:t>日常管护费</w:t>
      </w:r>
      <w:r>
        <w:rPr>
          <w:rFonts w:hint="eastAsia" w:ascii="仿宋" w:hAnsi="仿宋" w:eastAsia="仿宋" w:cs="仿宋"/>
          <w:color w:val="auto"/>
          <w:sz w:val="28"/>
          <w:szCs w:val="20"/>
          <w:highlight w:val="none"/>
        </w:rPr>
        <w:t>中扣除），每季度内，类似情况出现3次，甲方有权终止合同，不再支付当年度已发生的</w:t>
      </w:r>
      <w:r>
        <w:rPr>
          <w:rFonts w:hint="default" w:ascii="仿宋" w:hAnsi="仿宋" w:eastAsia="仿宋" w:cs="仿宋"/>
          <w:color w:val="auto"/>
          <w:sz w:val="28"/>
          <w:szCs w:val="20"/>
          <w:highlight w:val="none"/>
          <w:lang w:val="en-US"/>
        </w:rPr>
        <w:t>日常管护费</w:t>
      </w:r>
      <w:r>
        <w:rPr>
          <w:rFonts w:hint="eastAsia" w:ascii="仿宋" w:hAnsi="仿宋" w:eastAsia="仿宋" w:cs="仿宋"/>
          <w:color w:val="auto"/>
          <w:sz w:val="28"/>
          <w:szCs w:val="20"/>
          <w:highlight w:val="none"/>
        </w:rPr>
        <w:t>。</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五</w:t>
      </w:r>
      <w:r>
        <w:rPr>
          <w:rFonts w:hint="eastAsia" w:ascii="仿宋" w:hAnsi="仿宋" w:eastAsia="仿宋" w:cs="仿宋"/>
          <w:color w:val="auto"/>
          <w:sz w:val="28"/>
          <w:szCs w:val="20"/>
          <w:highlight w:val="none"/>
        </w:rPr>
        <w:t>）在重要接待、庆典和节日，乙方未按照甲方要求办理，或因乙方日常管护工作不到位造成灯饰不能亮灯，致使甲方工作受影响，一次扣除人民币500～2000元（在</w:t>
      </w:r>
      <w:r>
        <w:rPr>
          <w:rFonts w:hint="default" w:ascii="仿宋" w:hAnsi="仿宋" w:eastAsia="仿宋" w:cs="仿宋"/>
          <w:color w:val="auto"/>
          <w:sz w:val="28"/>
          <w:szCs w:val="20"/>
          <w:highlight w:val="none"/>
          <w:lang w:val="en-US"/>
        </w:rPr>
        <w:t>日常管护费</w:t>
      </w:r>
      <w:r>
        <w:rPr>
          <w:rFonts w:hint="eastAsia" w:ascii="仿宋" w:hAnsi="仿宋" w:eastAsia="仿宋" w:cs="仿宋"/>
          <w:color w:val="auto"/>
          <w:sz w:val="28"/>
          <w:szCs w:val="20"/>
          <w:highlight w:val="none"/>
        </w:rPr>
        <w:t>中扣除），并向灯饰主管部门</w:t>
      </w:r>
      <w:r>
        <w:rPr>
          <w:rFonts w:hint="eastAsia" w:ascii="仿宋" w:hAnsi="仿宋" w:eastAsia="仿宋" w:cs="仿宋"/>
          <w:color w:val="auto"/>
          <w:sz w:val="28"/>
          <w:szCs w:val="20"/>
          <w:highlight w:val="none"/>
          <w:lang w:val="en-US" w:eastAsia="zh-CN"/>
        </w:rPr>
        <w:t>及甲方</w:t>
      </w:r>
      <w:r>
        <w:rPr>
          <w:rFonts w:hint="eastAsia" w:ascii="仿宋" w:hAnsi="仿宋" w:eastAsia="仿宋" w:cs="仿宋"/>
          <w:color w:val="auto"/>
          <w:sz w:val="28"/>
          <w:szCs w:val="20"/>
          <w:highlight w:val="none"/>
        </w:rPr>
        <w:t>作出书面检查。每季度内，类似情况出现3次以上，甲方有权终止合同，并不再支付当年度已发生的日常管护费。</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六</w:t>
      </w:r>
      <w:r>
        <w:rPr>
          <w:rFonts w:hint="eastAsia" w:ascii="仿宋" w:hAnsi="仿宋" w:eastAsia="仿宋" w:cs="仿宋"/>
          <w:color w:val="auto"/>
          <w:sz w:val="28"/>
          <w:szCs w:val="20"/>
          <w:highlight w:val="none"/>
        </w:rPr>
        <w:t>）在日常管护期间，不论何种原因造成乙方企业灭失（包括企业破产、倒闭、解散、兼并、合并以及迁移），乙方不得将日常管护工作转给他人，甲方有权终止合同，并不再支付当年度已发生的日常管护费。本</w:t>
      </w:r>
      <w:r>
        <w:rPr>
          <w:rFonts w:hint="eastAsia" w:ascii="仿宋" w:hAnsi="仿宋" w:eastAsia="仿宋" w:cs="仿宋"/>
          <w:color w:val="auto"/>
          <w:sz w:val="28"/>
          <w:szCs w:val="20"/>
          <w:highlight w:val="none"/>
          <w:lang w:eastAsia="zh-CN"/>
        </w:rPr>
        <w:t>合同</w:t>
      </w:r>
      <w:r>
        <w:rPr>
          <w:rFonts w:ascii="仿宋" w:hAnsi="仿宋" w:eastAsia="仿宋" w:cs="仿宋"/>
          <w:color w:val="auto"/>
          <w:sz w:val="28"/>
          <w:szCs w:val="20"/>
          <w:highlight w:val="none"/>
        </w:rPr>
        <w:t>因此解除的，乙方应</w:t>
      </w:r>
      <w:r>
        <w:rPr>
          <w:rFonts w:hint="eastAsia" w:ascii="仿宋" w:hAnsi="仿宋" w:eastAsia="仿宋" w:cs="仿宋"/>
          <w:color w:val="auto"/>
          <w:sz w:val="28"/>
          <w:szCs w:val="20"/>
          <w:highlight w:val="none"/>
        </w:rPr>
        <w:t>当</w:t>
      </w:r>
      <w:r>
        <w:rPr>
          <w:rFonts w:ascii="仿宋" w:hAnsi="仿宋" w:eastAsia="仿宋" w:cs="仿宋"/>
          <w:color w:val="auto"/>
          <w:sz w:val="28"/>
          <w:szCs w:val="20"/>
          <w:highlight w:val="none"/>
        </w:rPr>
        <w:t>自解除之日起</w:t>
      </w:r>
      <w:r>
        <w:rPr>
          <w:rFonts w:hint="eastAsia" w:ascii="仿宋" w:hAnsi="仿宋" w:eastAsia="仿宋" w:cs="仿宋"/>
          <w:color w:val="auto"/>
          <w:sz w:val="28"/>
          <w:szCs w:val="20"/>
          <w:highlight w:val="none"/>
        </w:rPr>
        <w:t>10日</w:t>
      </w:r>
      <w:r>
        <w:rPr>
          <w:rFonts w:ascii="仿宋" w:hAnsi="仿宋" w:eastAsia="仿宋" w:cs="仿宋"/>
          <w:color w:val="auto"/>
          <w:sz w:val="28"/>
          <w:szCs w:val="20"/>
          <w:highlight w:val="none"/>
        </w:rPr>
        <w:t>内向甲方退还甲方已经支付的全部</w:t>
      </w:r>
      <w:r>
        <w:rPr>
          <w:rFonts w:hint="default" w:ascii="仿宋" w:hAnsi="仿宋" w:eastAsia="仿宋" w:cs="仿宋"/>
          <w:color w:val="auto"/>
          <w:sz w:val="28"/>
          <w:szCs w:val="20"/>
          <w:highlight w:val="none"/>
          <w:lang w:val="en-US" w:eastAsia="zh-CN"/>
        </w:rPr>
        <w:t>合同</w:t>
      </w:r>
      <w:r>
        <w:rPr>
          <w:rFonts w:hint="default" w:ascii="仿宋" w:hAnsi="仿宋" w:eastAsia="仿宋" w:cs="仿宋"/>
          <w:color w:val="auto"/>
          <w:sz w:val="28"/>
          <w:szCs w:val="20"/>
          <w:highlight w:val="none"/>
          <w:lang w:val="en-US"/>
        </w:rPr>
        <w:t>价款</w:t>
      </w:r>
      <w:r>
        <w:rPr>
          <w:rFonts w:ascii="仿宋" w:hAnsi="仿宋" w:eastAsia="仿宋" w:cs="仿宋"/>
          <w:color w:val="auto"/>
          <w:sz w:val="28"/>
          <w:szCs w:val="20"/>
          <w:highlight w:val="none"/>
        </w:rPr>
        <w:t>。逾期</w:t>
      </w:r>
      <w:r>
        <w:rPr>
          <w:rFonts w:hint="eastAsia" w:ascii="仿宋" w:hAnsi="仿宋" w:eastAsia="仿宋" w:cs="仿宋"/>
          <w:color w:val="auto"/>
          <w:sz w:val="28"/>
          <w:szCs w:val="20"/>
          <w:highlight w:val="none"/>
        </w:rPr>
        <w:t>退还</w:t>
      </w:r>
      <w:r>
        <w:rPr>
          <w:rFonts w:ascii="仿宋" w:hAnsi="仿宋" w:eastAsia="仿宋" w:cs="仿宋"/>
          <w:color w:val="auto"/>
          <w:sz w:val="28"/>
          <w:szCs w:val="20"/>
          <w:highlight w:val="none"/>
        </w:rPr>
        <w:t>的</w:t>
      </w:r>
      <w:r>
        <w:rPr>
          <w:rFonts w:hint="eastAsia" w:ascii="仿宋" w:hAnsi="仿宋" w:eastAsia="仿宋" w:cs="仿宋"/>
          <w:color w:val="auto"/>
          <w:sz w:val="28"/>
          <w:szCs w:val="20"/>
          <w:highlight w:val="none"/>
        </w:rPr>
        <w:t>，</w:t>
      </w:r>
      <w:r>
        <w:rPr>
          <w:rFonts w:ascii="仿宋" w:hAnsi="仿宋" w:eastAsia="仿宋" w:cs="仿宋"/>
          <w:color w:val="auto"/>
          <w:sz w:val="28"/>
          <w:szCs w:val="20"/>
          <w:highlight w:val="none"/>
        </w:rPr>
        <w:t>每逾期一日按万分</w:t>
      </w:r>
      <w:r>
        <w:rPr>
          <w:rFonts w:hint="eastAsia" w:ascii="仿宋" w:hAnsi="仿宋" w:eastAsia="仿宋" w:cs="仿宋"/>
          <w:color w:val="auto"/>
          <w:sz w:val="28"/>
          <w:szCs w:val="20"/>
          <w:highlight w:val="none"/>
        </w:rPr>
        <w:t>之</w:t>
      </w:r>
      <w:r>
        <w:rPr>
          <w:rFonts w:ascii="仿宋" w:hAnsi="仿宋" w:eastAsia="仿宋" w:cs="仿宋"/>
          <w:color w:val="auto"/>
          <w:sz w:val="28"/>
          <w:szCs w:val="20"/>
          <w:highlight w:val="none"/>
        </w:rPr>
        <w:t>五收取资金占用利息。</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七</w:t>
      </w:r>
      <w:r>
        <w:rPr>
          <w:rFonts w:hint="eastAsia" w:ascii="仿宋" w:hAnsi="仿宋" w:eastAsia="仿宋" w:cs="仿宋"/>
          <w:color w:val="auto"/>
          <w:sz w:val="28"/>
          <w:szCs w:val="20"/>
          <w:highlight w:val="none"/>
        </w:rPr>
        <w:t>）乙方擅自更换项目管理人员及操作人员的违约责任：未经许可更换项目经理，甲方将收取乙方违约金5万元；未经许可更换技术</w:t>
      </w:r>
      <w:r>
        <w:rPr>
          <w:rFonts w:ascii="仿宋" w:hAnsi="仿宋" w:eastAsia="仿宋" w:cs="仿宋"/>
          <w:color w:val="auto"/>
          <w:sz w:val="28"/>
          <w:szCs w:val="20"/>
          <w:highlight w:val="none"/>
        </w:rPr>
        <w:t>人员（</w:t>
      </w:r>
      <w:r>
        <w:rPr>
          <w:rFonts w:hint="eastAsia" w:ascii="仿宋" w:hAnsi="仿宋" w:eastAsia="仿宋" w:cs="仿宋"/>
          <w:color w:val="auto"/>
          <w:sz w:val="28"/>
          <w:szCs w:val="20"/>
          <w:highlight w:val="none"/>
        </w:rPr>
        <w:t>安全员、电工、</w:t>
      </w:r>
      <w:r>
        <w:rPr>
          <w:rFonts w:ascii="仿宋" w:hAnsi="仿宋" w:eastAsia="仿宋" w:cs="仿宋"/>
          <w:color w:val="auto"/>
          <w:sz w:val="28"/>
          <w:szCs w:val="20"/>
          <w:highlight w:val="none"/>
        </w:rPr>
        <w:t>高空工作人员</w:t>
      </w:r>
      <w:r>
        <w:rPr>
          <w:rFonts w:hint="eastAsia" w:ascii="仿宋" w:hAnsi="仿宋" w:eastAsia="仿宋" w:cs="仿宋"/>
          <w:color w:val="auto"/>
          <w:sz w:val="28"/>
          <w:szCs w:val="20"/>
          <w:highlight w:val="none"/>
        </w:rPr>
        <w:t>），甲方将收取乙方违约金2万元。</w:t>
      </w:r>
    </w:p>
    <w:p>
      <w:pPr>
        <w:widowControl w:val="0"/>
        <w:snapToGrid w:val="0"/>
        <w:spacing w:line="440" w:lineRule="exact"/>
        <w:ind w:firstLine="284"/>
        <w:jc w:val="both"/>
        <w:rPr>
          <w:rFonts w:ascii="仿宋" w:hAnsi="仿宋" w:eastAsia="仿宋" w:cs="仿宋"/>
          <w:color w:val="auto"/>
          <w:kern w:val="2"/>
          <w:sz w:val="28"/>
          <w:highlight w:val="none"/>
          <w:lang w:val="en-US" w:eastAsia="zh-CN" w:bidi="ar-SA"/>
        </w:rPr>
      </w:pPr>
      <w:r>
        <w:rPr>
          <w:rFonts w:hint="eastAsia" w:ascii="仿宋" w:hAnsi="仿宋" w:eastAsia="仿宋" w:cs="仿宋"/>
          <w:color w:val="auto"/>
          <w:kern w:val="2"/>
          <w:sz w:val="28"/>
          <w:highlight w:val="none"/>
          <w:lang w:val="en-US" w:eastAsia="zh-CN" w:bidi="ar-SA"/>
        </w:rPr>
        <w:t xml:space="preserve"> （八</w:t>
      </w:r>
      <w:r>
        <w:rPr>
          <w:rFonts w:ascii="仿宋" w:hAnsi="仿宋" w:eastAsia="仿宋" w:cs="仿宋"/>
          <w:color w:val="auto"/>
          <w:kern w:val="2"/>
          <w:sz w:val="28"/>
          <w:highlight w:val="none"/>
          <w:lang w:val="en-US" w:eastAsia="zh-CN" w:bidi="ar-SA"/>
        </w:rPr>
        <w:t>）</w:t>
      </w:r>
      <w:r>
        <w:rPr>
          <w:rFonts w:hint="eastAsia" w:ascii="仿宋" w:hAnsi="仿宋" w:eastAsia="仿宋" w:cs="仿宋"/>
          <w:color w:val="auto"/>
          <w:kern w:val="2"/>
          <w:sz w:val="28"/>
          <w:highlight w:val="none"/>
          <w:lang w:val="en-US" w:eastAsia="zh-CN" w:bidi="ar-SA"/>
        </w:rPr>
        <w:t>乙方维护</w:t>
      </w:r>
      <w:r>
        <w:rPr>
          <w:rFonts w:ascii="仿宋" w:hAnsi="仿宋" w:eastAsia="仿宋" w:cs="仿宋"/>
          <w:color w:val="auto"/>
          <w:kern w:val="2"/>
          <w:sz w:val="28"/>
          <w:highlight w:val="none"/>
          <w:lang w:val="en-US" w:eastAsia="zh-CN" w:bidi="ar-SA"/>
        </w:rPr>
        <w:t>工人着装规范、持证上岗。乙方</w:t>
      </w:r>
      <w:r>
        <w:rPr>
          <w:rFonts w:hint="eastAsia" w:ascii="仿宋" w:hAnsi="仿宋" w:eastAsia="仿宋" w:cs="仿宋"/>
          <w:color w:val="auto"/>
          <w:kern w:val="2"/>
          <w:sz w:val="28"/>
          <w:highlight w:val="none"/>
          <w:lang w:val="en-US" w:eastAsia="zh-CN" w:bidi="ar-SA"/>
        </w:rPr>
        <w:t>工人需</w:t>
      </w:r>
      <w:r>
        <w:rPr>
          <w:rFonts w:ascii="仿宋" w:hAnsi="仿宋" w:eastAsia="仿宋" w:cs="仿宋"/>
          <w:color w:val="auto"/>
          <w:kern w:val="2"/>
          <w:sz w:val="28"/>
          <w:highlight w:val="none"/>
          <w:lang w:val="en-US" w:eastAsia="zh-CN" w:bidi="ar-SA"/>
        </w:rPr>
        <w:t>具有完成工作相应的资质、资格并取得资格证书。维护</w:t>
      </w:r>
      <w:r>
        <w:rPr>
          <w:rFonts w:hint="eastAsia" w:ascii="仿宋" w:hAnsi="仿宋" w:eastAsia="仿宋" w:cs="仿宋"/>
          <w:color w:val="auto"/>
          <w:kern w:val="2"/>
          <w:sz w:val="28"/>
          <w:highlight w:val="none"/>
          <w:lang w:val="en-US" w:eastAsia="zh-CN" w:bidi="ar-SA"/>
        </w:rPr>
        <w:t>工人上班</w:t>
      </w:r>
      <w:r>
        <w:rPr>
          <w:rFonts w:ascii="仿宋" w:hAnsi="仿宋" w:eastAsia="仿宋" w:cs="仿宋"/>
          <w:color w:val="auto"/>
          <w:kern w:val="2"/>
          <w:sz w:val="28"/>
          <w:highlight w:val="none"/>
          <w:lang w:val="en-US" w:eastAsia="zh-CN" w:bidi="ar-SA"/>
        </w:rPr>
        <w:t>时</w:t>
      </w:r>
      <w:r>
        <w:rPr>
          <w:rFonts w:hint="eastAsia" w:ascii="仿宋" w:hAnsi="仿宋" w:eastAsia="仿宋" w:cs="仿宋"/>
          <w:color w:val="auto"/>
          <w:kern w:val="2"/>
          <w:sz w:val="28"/>
          <w:highlight w:val="none"/>
          <w:lang w:val="en-US" w:eastAsia="zh-CN" w:bidi="ar-SA"/>
        </w:rPr>
        <w:t>必须穿</w:t>
      </w:r>
      <w:r>
        <w:rPr>
          <w:rFonts w:ascii="仿宋" w:hAnsi="仿宋" w:eastAsia="仿宋" w:cs="仿宋"/>
          <w:color w:val="auto"/>
          <w:kern w:val="2"/>
          <w:sz w:val="28"/>
          <w:highlight w:val="none"/>
          <w:lang w:val="en-US" w:eastAsia="zh-CN" w:bidi="ar-SA"/>
        </w:rPr>
        <w:t>戴安全帽，高空作业人员、</w:t>
      </w:r>
      <w:r>
        <w:rPr>
          <w:rFonts w:hint="eastAsia" w:ascii="仿宋" w:hAnsi="仿宋" w:eastAsia="仿宋" w:cs="仿宋"/>
          <w:color w:val="auto"/>
          <w:kern w:val="2"/>
          <w:sz w:val="28"/>
          <w:highlight w:val="none"/>
          <w:lang w:val="en-US" w:eastAsia="zh-CN" w:bidi="ar-SA"/>
        </w:rPr>
        <w:t>电气</w:t>
      </w:r>
      <w:r>
        <w:rPr>
          <w:rFonts w:ascii="仿宋" w:hAnsi="仿宋" w:eastAsia="仿宋" w:cs="仿宋"/>
          <w:color w:val="auto"/>
          <w:kern w:val="2"/>
          <w:sz w:val="28"/>
          <w:highlight w:val="none"/>
          <w:lang w:val="en-US" w:eastAsia="zh-CN" w:bidi="ar-SA"/>
        </w:rPr>
        <w:t>安装人员须持证上岗。同时</w:t>
      </w:r>
      <w:r>
        <w:rPr>
          <w:rFonts w:hint="eastAsia" w:ascii="仿宋" w:hAnsi="仿宋" w:eastAsia="仿宋" w:cs="仿宋"/>
          <w:color w:val="auto"/>
          <w:kern w:val="2"/>
          <w:sz w:val="28"/>
          <w:highlight w:val="none"/>
          <w:lang w:val="en-US" w:eastAsia="zh-CN" w:bidi="ar-SA"/>
        </w:rPr>
        <w:t>，高空</w:t>
      </w:r>
      <w:r>
        <w:rPr>
          <w:rFonts w:ascii="仿宋" w:hAnsi="仿宋" w:eastAsia="仿宋" w:cs="仿宋"/>
          <w:color w:val="auto"/>
          <w:kern w:val="2"/>
          <w:sz w:val="28"/>
          <w:highlight w:val="none"/>
          <w:lang w:val="en-US" w:eastAsia="zh-CN" w:bidi="ar-SA"/>
        </w:rPr>
        <w:t>作业人员在实施高空作业前必须由乙方为</w:t>
      </w:r>
      <w:r>
        <w:rPr>
          <w:rFonts w:hint="eastAsia" w:ascii="仿宋" w:hAnsi="仿宋" w:eastAsia="仿宋" w:cs="仿宋"/>
          <w:color w:val="auto"/>
          <w:kern w:val="2"/>
          <w:sz w:val="28"/>
          <w:highlight w:val="none"/>
          <w:lang w:val="en-US" w:eastAsia="zh-CN" w:bidi="ar-SA"/>
        </w:rPr>
        <w:t>其</w:t>
      </w:r>
      <w:r>
        <w:rPr>
          <w:rFonts w:ascii="仿宋" w:hAnsi="仿宋" w:eastAsia="仿宋" w:cs="仿宋"/>
          <w:color w:val="auto"/>
          <w:kern w:val="2"/>
          <w:sz w:val="28"/>
          <w:highlight w:val="none"/>
          <w:lang w:val="en-US" w:eastAsia="zh-CN" w:bidi="ar-SA"/>
        </w:rPr>
        <w:t>购买高空意外</w:t>
      </w:r>
      <w:r>
        <w:rPr>
          <w:rFonts w:hint="eastAsia" w:ascii="仿宋" w:hAnsi="仿宋" w:eastAsia="仿宋" w:cs="仿宋"/>
          <w:color w:val="auto"/>
          <w:kern w:val="2"/>
          <w:sz w:val="28"/>
          <w:highlight w:val="none"/>
          <w:lang w:val="en-US" w:eastAsia="zh-CN" w:bidi="ar-SA"/>
        </w:rPr>
        <w:t>伤害</w:t>
      </w:r>
      <w:r>
        <w:rPr>
          <w:rFonts w:ascii="仿宋" w:hAnsi="仿宋" w:eastAsia="仿宋" w:cs="仿宋"/>
          <w:color w:val="auto"/>
          <w:kern w:val="2"/>
          <w:sz w:val="28"/>
          <w:highlight w:val="none"/>
          <w:lang w:val="en-US" w:eastAsia="zh-CN" w:bidi="ar-SA"/>
        </w:rPr>
        <w:t>险并生效后才能实施高空作业。乙方</w:t>
      </w:r>
      <w:r>
        <w:rPr>
          <w:rFonts w:hint="eastAsia" w:ascii="仿宋" w:hAnsi="仿宋" w:eastAsia="仿宋" w:cs="仿宋"/>
          <w:color w:val="auto"/>
          <w:kern w:val="2"/>
          <w:sz w:val="28"/>
          <w:highlight w:val="none"/>
          <w:lang w:val="en-US" w:eastAsia="zh-CN" w:bidi="ar-SA"/>
        </w:rPr>
        <w:t>未</w:t>
      </w:r>
      <w:r>
        <w:rPr>
          <w:rFonts w:ascii="仿宋" w:hAnsi="仿宋" w:eastAsia="仿宋" w:cs="仿宋"/>
          <w:color w:val="auto"/>
          <w:kern w:val="2"/>
          <w:sz w:val="28"/>
          <w:highlight w:val="none"/>
          <w:lang w:val="en-US" w:eastAsia="zh-CN" w:bidi="ar-SA"/>
        </w:rPr>
        <w:t>购买高空意外伤害险或所购买的高空意外伤害险未生效就要求工人上岗作业的，一切后果由乙方自行承担。</w:t>
      </w:r>
    </w:p>
    <w:p>
      <w:pPr>
        <w:spacing w:line="440" w:lineRule="exact"/>
        <w:ind w:firstLine="420" w:firstLineChars="15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eastAsia="zh-CN"/>
        </w:rPr>
        <w:t>九</w:t>
      </w:r>
      <w:r>
        <w:rPr>
          <w:rFonts w:ascii="仿宋" w:hAnsi="仿宋" w:eastAsia="仿宋" w:cs="仿宋"/>
          <w:color w:val="auto"/>
          <w:sz w:val="28"/>
          <w:szCs w:val="20"/>
          <w:highlight w:val="none"/>
        </w:rPr>
        <w:t>）</w:t>
      </w:r>
      <w:r>
        <w:rPr>
          <w:rFonts w:hint="eastAsia" w:ascii="仿宋" w:hAnsi="仿宋" w:eastAsia="仿宋" w:cs="仿宋"/>
          <w:color w:val="auto"/>
          <w:sz w:val="28"/>
          <w:szCs w:val="20"/>
          <w:highlight w:val="none"/>
        </w:rPr>
        <w:t xml:space="preserve"> 乙方</w:t>
      </w:r>
      <w:r>
        <w:rPr>
          <w:rFonts w:ascii="仿宋" w:hAnsi="仿宋" w:eastAsia="仿宋" w:cs="仿宋"/>
          <w:color w:val="auto"/>
          <w:sz w:val="28"/>
          <w:szCs w:val="20"/>
          <w:highlight w:val="none"/>
        </w:rPr>
        <w:t>在本</w:t>
      </w:r>
      <w:r>
        <w:rPr>
          <w:rFonts w:hint="eastAsia" w:ascii="仿宋" w:hAnsi="仿宋" w:eastAsia="仿宋" w:cs="仿宋"/>
          <w:color w:val="auto"/>
          <w:sz w:val="28"/>
          <w:szCs w:val="20"/>
          <w:highlight w:val="none"/>
          <w:lang w:eastAsia="zh-CN"/>
        </w:rPr>
        <w:t>合同</w:t>
      </w:r>
      <w:r>
        <w:rPr>
          <w:rFonts w:hint="eastAsia" w:ascii="仿宋" w:hAnsi="仿宋" w:eastAsia="仿宋" w:cs="仿宋"/>
          <w:color w:val="auto"/>
          <w:sz w:val="28"/>
          <w:szCs w:val="20"/>
          <w:highlight w:val="none"/>
        </w:rPr>
        <w:t>有效</w:t>
      </w:r>
      <w:r>
        <w:rPr>
          <w:rFonts w:ascii="仿宋" w:hAnsi="仿宋" w:eastAsia="仿宋" w:cs="仿宋"/>
          <w:color w:val="auto"/>
          <w:sz w:val="28"/>
          <w:szCs w:val="20"/>
          <w:highlight w:val="none"/>
        </w:rPr>
        <w:t>期内不得有任何形式的恶意停工、暂停和不合</w:t>
      </w:r>
      <w:r>
        <w:rPr>
          <w:rFonts w:hint="eastAsia" w:ascii="仿宋" w:hAnsi="仿宋" w:eastAsia="仿宋" w:cs="仿宋"/>
          <w:color w:val="auto"/>
          <w:sz w:val="28"/>
          <w:szCs w:val="20"/>
          <w:highlight w:val="none"/>
        </w:rPr>
        <w:t>理</w:t>
      </w:r>
      <w:r>
        <w:rPr>
          <w:rFonts w:ascii="仿宋" w:hAnsi="仿宋" w:eastAsia="仿宋" w:cs="仿宋"/>
          <w:color w:val="auto"/>
          <w:sz w:val="28"/>
          <w:szCs w:val="20"/>
          <w:highlight w:val="none"/>
        </w:rPr>
        <w:t>的消极怠工，如有</w:t>
      </w:r>
      <w:r>
        <w:rPr>
          <w:rFonts w:hint="eastAsia" w:ascii="仿宋" w:hAnsi="仿宋" w:eastAsia="仿宋" w:cs="仿宋"/>
          <w:color w:val="auto"/>
          <w:sz w:val="28"/>
          <w:szCs w:val="20"/>
          <w:highlight w:val="none"/>
        </w:rPr>
        <w:t>此</w:t>
      </w:r>
      <w:r>
        <w:rPr>
          <w:rFonts w:ascii="仿宋" w:hAnsi="仿宋" w:eastAsia="仿宋" w:cs="仿宋"/>
          <w:color w:val="auto"/>
          <w:sz w:val="28"/>
          <w:szCs w:val="20"/>
          <w:highlight w:val="none"/>
        </w:rPr>
        <w:t>类</w:t>
      </w:r>
      <w:r>
        <w:rPr>
          <w:rFonts w:hint="eastAsia" w:ascii="仿宋" w:hAnsi="仿宋" w:eastAsia="仿宋" w:cs="仿宋"/>
          <w:color w:val="auto"/>
          <w:sz w:val="28"/>
          <w:szCs w:val="20"/>
          <w:highlight w:val="none"/>
        </w:rPr>
        <w:t>事情</w:t>
      </w:r>
      <w:r>
        <w:rPr>
          <w:rFonts w:ascii="仿宋" w:hAnsi="仿宋" w:eastAsia="仿宋" w:cs="仿宋"/>
          <w:color w:val="auto"/>
          <w:sz w:val="28"/>
          <w:szCs w:val="20"/>
          <w:highlight w:val="none"/>
        </w:rPr>
        <w:t>发生，甲方有权从</w:t>
      </w:r>
      <w:r>
        <w:rPr>
          <w:rFonts w:hint="eastAsia" w:ascii="仿宋" w:hAnsi="仿宋" w:eastAsia="仿宋" w:cs="仿宋"/>
          <w:color w:val="auto"/>
          <w:sz w:val="28"/>
          <w:szCs w:val="20"/>
          <w:highlight w:val="none"/>
          <w:lang w:val="en-US" w:eastAsia="zh-CN"/>
        </w:rPr>
        <w:t>合同总金额</w:t>
      </w:r>
      <w:r>
        <w:rPr>
          <w:rFonts w:ascii="仿宋" w:hAnsi="仿宋" w:eastAsia="仿宋" w:cs="仿宋"/>
          <w:color w:val="auto"/>
          <w:sz w:val="28"/>
          <w:szCs w:val="20"/>
          <w:highlight w:val="none"/>
        </w:rPr>
        <w:t>内</w:t>
      </w:r>
      <w:r>
        <w:rPr>
          <w:rFonts w:hint="eastAsia" w:ascii="仿宋" w:hAnsi="仿宋" w:eastAsia="仿宋" w:cs="仿宋"/>
          <w:color w:val="auto"/>
          <w:sz w:val="28"/>
          <w:szCs w:val="20"/>
          <w:highlight w:val="none"/>
        </w:rPr>
        <w:t>直接</w:t>
      </w:r>
      <w:r>
        <w:rPr>
          <w:rFonts w:ascii="仿宋" w:hAnsi="仿宋" w:eastAsia="仿宋" w:cs="仿宋"/>
          <w:color w:val="auto"/>
          <w:sz w:val="28"/>
          <w:szCs w:val="20"/>
          <w:highlight w:val="none"/>
        </w:rPr>
        <w:t>扣除</w:t>
      </w:r>
      <w:r>
        <w:rPr>
          <w:rFonts w:hint="eastAsia" w:ascii="仿宋" w:hAnsi="仿宋" w:eastAsia="仿宋" w:cs="仿宋"/>
          <w:color w:val="auto"/>
          <w:sz w:val="28"/>
          <w:szCs w:val="20"/>
          <w:highlight w:val="none"/>
        </w:rPr>
        <w:t>10</w:t>
      </w:r>
      <w:r>
        <w:rPr>
          <w:rFonts w:ascii="仿宋" w:hAnsi="仿宋" w:eastAsia="仿宋" w:cs="仿宋"/>
          <w:color w:val="auto"/>
          <w:sz w:val="28"/>
          <w:szCs w:val="20"/>
          <w:highlight w:val="none"/>
        </w:rPr>
        <w:t>%作为违约金。</w:t>
      </w:r>
    </w:p>
    <w:p>
      <w:pPr>
        <w:spacing w:line="440" w:lineRule="exact"/>
        <w:ind w:firstLine="562" w:firstLineChars="200"/>
        <w:rPr>
          <w:rFonts w:ascii="仿宋" w:hAnsi="仿宋" w:eastAsia="仿宋" w:cs="仿宋"/>
          <w:b/>
          <w:color w:val="auto"/>
          <w:sz w:val="28"/>
          <w:szCs w:val="20"/>
          <w:highlight w:val="none"/>
        </w:rPr>
      </w:pPr>
      <w:r>
        <w:rPr>
          <w:rFonts w:hint="eastAsia" w:ascii="仿宋" w:hAnsi="仿宋" w:eastAsia="仿宋" w:cs="仿宋"/>
          <w:b/>
          <w:color w:val="auto"/>
          <w:sz w:val="28"/>
          <w:szCs w:val="20"/>
          <w:highlight w:val="none"/>
        </w:rPr>
        <w:t>以上违约金甲方均有权从应当支付乙方的</w:t>
      </w:r>
      <w:r>
        <w:rPr>
          <w:rFonts w:hint="default" w:ascii="仿宋" w:hAnsi="仿宋" w:eastAsia="仿宋" w:cs="仿宋"/>
          <w:b/>
          <w:color w:val="auto"/>
          <w:sz w:val="28"/>
          <w:szCs w:val="20"/>
          <w:highlight w:val="none"/>
          <w:lang w:val="en-US"/>
        </w:rPr>
        <w:t>日常管护费</w:t>
      </w:r>
      <w:r>
        <w:rPr>
          <w:rFonts w:hint="eastAsia" w:ascii="仿宋" w:hAnsi="仿宋" w:eastAsia="仿宋" w:cs="仿宋"/>
          <w:b/>
          <w:color w:val="auto"/>
          <w:sz w:val="28"/>
          <w:szCs w:val="20"/>
          <w:highlight w:val="none"/>
        </w:rPr>
        <w:t>中予以扣除。</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lang w:val="en-US" w:eastAsia="zh-CN"/>
        </w:rPr>
        <w:t>七</w:t>
      </w:r>
      <w:r>
        <w:rPr>
          <w:rFonts w:hint="eastAsia" w:ascii="仿宋" w:hAnsi="仿宋" w:eastAsia="仿宋" w:cs="仿宋"/>
          <w:color w:val="auto"/>
          <w:sz w:val="28"/>
          <w:szCs w:val="20"/>
          <w:highlight w:val="none"/>
        </w:rPr>
        <w:t>、本合同履行期间，甲、乙双方发生争议时，如协商达不成一致意见，依法解决。</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lang w:val="en-US" w:eastAsia="zh-CN"/>
        </w:rPr>
        <w:t>八</w:t>
      </w:r>
      <w:r>
        <w:rPr>
          <w:rFonts w:hint="eastAsia" w:ascii="仿宋" w:hAnsi="仿宋" w:eastAsia="仿宋" w:cs="仿宋"/>
          <w:color w:val="auto"/>
          <w:sz w:val="28"/>
          <w:szCs w:val="20"/>
          <w:highlight w:val="none"/>
        </w:rPr>
        <w:t>、本</w:t>
      </w:r>
      <w:r>
        <w:rPr>
          <w:rFonts w:hint="eastAsia" w:ascii="仿宋" w:hAnsi="仿宋" w:eastAsia="仿宋" w:cs="仿宋"/>
          <w:color w:val="auto"/>
          <w:sz w:val="28"/>
          <w:szCs w:val="20"/>
          <w:highlight w:val="none"/>
          <w:lang w:eastAsia="zh-CN"/>
        </w:rPr>
        <w:t>合同</w:t>
      </w:r>
      <w:r>
        <w:rPr>
          <w:rFonts w:hint="eastAsia" w:ascii="仿宋" w:hAnsi="仿宋" w:eastAsia="仿宋" w:cs="仿宋"/>
          <w:color w:val="auto"/>
          <w:sz w:val="28"/>
          <w:szCs w:val="20"/>
          <w:highlight w:val="none"/>
        </w:rPr>
        <w:t>未尽事宜，由甲乙双方共同协商解决。</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lang w:val="en-US" w:eastAsia="zh-CN"/>
        </w:rPr>
        <w:t>九</w:t>
      </w: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val="en-US" w:eastAsia="zh-CN"/>
        </w:rPr>
        <w:t>比选</w:t>
      </w:r>
      <w:r>
        <w:rPr>
          <w:rFonts w:hint="eastAsia" w:ascii="仿宋" w:hAnsi="仿宋" w:eastAsia="仿宋" w:cs="仿宋"/>
          <w:color w:val="auto"/>
          <w:sz w:val="28"/>
          <w:szCs w:val="20"/>
          <w:highlight w:val="none"/>
        </w:rPr>
        <w:t>文件、答疑补遗书及</w:t>
      </w:r>
      <w:r>
        <w:rPr>
          <w:rFonts w:hint="eastAsia" w:ascii="仿宋" w:hAnsi="仿宋" w:eastAsia="仿宋" w:cs="仿宋"/>
          <w:color w:val="auto"/>
          <w:sz w:val="28"/>
          <w:szCs w:val="20"/>
          <w:highlight w:val="none"/>
          <w:lang w:eastAsia="zh-CN"/>
        </w:rPr>
        <w:t>中选</w:t>
      </w:r>
      <w:r>
        <w:rPr>
          <w:rFonts w:hint="eastAsia" w:ascii="仿宋" w:hAnsi="仿宋" w:eastAsia="仿宋" w:cs="仿宋"/>
          <w:color w:val="auto"/>
          <w:sz w:val="28"/>
          <w:szCs w:val="20"/>
          <w:highlight w:val="none"/>
        </w:rPr>
        <w:t>人的投标文件均作为合同的有效附件。</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lang w:val="en-US" w:eastAsia="zh-CN"/>
        </w:rPr>
        <w:t>十</w:t>
      </w:r>
      <w:r>
        <w:rPr>
          <w:rFonts w:hint="eastAsia" w:ascii="仿宋" w:hAnsi="仿宋" w:eastAsia="仿宋" w:cs="仿宋"/>
          <w:color w:val="auto"/>
          <w:sz w:val="28"/>
          <w:szCs w:val="20"/>
          <w:highlight w:val="none"/>
        </w:rPr>
        <w:t>、本</w:t>
      </w:r>
      <w:r>
        <w:rPr>
          <w:rFonts w:hint="eastAsia" w:ascii="仿宋" w:hAnsi="仿宋" w:eastAsia="仿宋" w:cs="仿宋"/>
          <w:color w:val="auto"/>
          <w:sz w:val="28"/>
          <w:szCs w:val="20"/>
          <w:highlight w:val="none"/>
          <w:lang w:eastAsia="zh-CN"/>
        </w:rPr>
        <w:t>合同</w:t>
      </w:r>
      <w:r>
        <w:rPr>
          <w:rFonts w:hint="eastAsia" w:ascii="仿宋" w:hAnsi="仿宋" w:eastAsia="仿宋" w:cs="仿宋"/>
          <w:color w:val="auto"/>
          <w:sz w:val="28"/>
          <w:szCs w:val="20"/>
          <w:highlight w:val="none"/>
        </w:rPr>
        <w:t>经甲乙双方签订盖章后生效。本</w:t>
      </w:r>
      <w:r>
        <w:rPr>
          <w:rFonts w:hint="eastAsia" w:ascii="仿宋" w:hAnsi="仿宋" w:eastAsia="仿宋" w:cs="仿宋"/>
          <w:color w:val="auto"/>
          <w:sz w:val="28"/>
          <w:szCs w:val="20"/>
          <w:highlight w:val="none"/>
          <w:lang w:eastAsia="zh-CN"/>
        </w:rPr>
        <w:t>合同</w:t>
      </w:r>
      <w:r>
        <w:rPr>
          <w:rFonts w:hint="eastAsia" w:ascii="仿宋" w:hAnsi="仿宋" w:eastAsia="仿宋" w:cs="仿宋"/>
          <w:color w:val="auto"/>
          <w:sz w:val="28"/>
          <w:szCs w:val="20"/>
          <w:highlight w:val="none"/>
        </w:rPr>
        <w:t>一式</w:t>
      </w:r>
      <w:r>
        <w:rPr>
          <w:rFonts w:hint="eastAsia" w:ascii="仿宋" w:hAnsi="仿宋" w:eastAsia="仿宋" w:cs="仿宋"/>
          <w:color w:val="auto"/>
          <w:sz w:val="28"/>
          <w:szCs w:val="20"/>
          <w:highlight w:val="none"/>
          <w:lang w:val="en-US" w:eastAsia="zh-CN"/>
        </w:rPr>
        <w:t>陆</w:t>
      </w:r>
      <w:r>
        <w:rPr>
          <w:rFonts w:hint="eastAsia" w:ascii="仿宋" w:hAnsi="仿宋" w:eastAsia="仿宋" w:cs="仿宋"/>
          <w:color w:val="auto"/>
          <w:sz w:val="28"/>
          <w:szCs w:val="20"/>
          <w:highlight w:val="none"/>
        </w:rPr>
        <w:t>份，甲方执</w:t>
      </w:r>
      <w:r>
        <w:rPr>
          <w:rFonts w:hint="eastAsia" w:ascii="仿宋" w:hAnsi="仿宋" w:eastAsia="仿宋" w:cs="仿宋"/>
          <w:color w:val="auto"/>
          <w:sz w:val="28"/>
          <w:szCs w:val="20"/>
          <w:highlight w:val="none"/>
          <w:lang w:val="en-US" w:eastAsia="zh-CN"/>
        </w:rPr>
        <w:t>肆</w:t>
      </w:r>
      <w:r>
        <w:rPr>
          <w:rFonts w:hint="eastAsia" w:ascii="仿宋" w:hAnsi="仿宋" w:eastAsia="仿宋" w:cs="仿宋"/>
          <w:color w:val="auto"/>
          <w:sz w:val="28"/>
          <w:szCs w:val="20"/>
          <w:highlight w:val="none"/>
        </w:rPr>
        <w:t>份，乙方执</w:t>
      </w:r>
      <w:r>
        <w:rPr>
          <w:rFonts w:hint="eastAsia" w:ascii="仿宋" w:hAnsi="仿宋" w:eastAsia="仿宋" w:cs="仿宋"/>
          <w:color w:val="auto"/>
          <w:sz w:val="28"/>
          <w:szCs w:val="20"/>
          <w:highlight w:val="none"/>
          <w:lang w:val="en-US" w:eastAsia="zh-CN"/>
        </w:rPr>
        <w:t>贰</w:t>
      </w:r>
      <w:r>
        <w:rPr>
          <w:rFonts w:hint="eastAsia" w:ascii="仿宋" w:hAnsi="仿宋" w:eastAsia="仿宋" w:cs="仿宋"/>
          <w:color w:val="auto"/>
          <w:sz w:val="28"/>
          <w:szCs w:val="20"/>
          <w:highlight w:val="none"/>
        </w:rPr>
        <w:t>份，具有同等法律效力。</w:t>
      </w:r>
    </w:p>
    <w:p>
      <w:pPr>
        <w:spacing w:line="440" w:lineRule="exact"/>
        <w:ind w:firstLine="560" w:firstLineChars="200"/>
        <w:rPr>
          <w:rFonts w:ascii="仿宋" w:hAnsi="仿宋" w:eastAsia="仿宋" w:cs="仿宋"/>
          <w:color w:val="auto"/>
          <w:sz w:val="28"/>
          <w:szCs w:val="20"/>
          <w:highlight w:val="none"/>
        </w:rPr>
      </w:pPr>
    </w:p>
    <w:p>
      <w:pPr>
        <w:pStyle w:val="2"/>
      </w:pP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附件</w:t>
      </w:r>
      <w:r>
        <w:rPr>
          <w:rFonts w:hint="eastAsia" w:ascii="仿宋" w:hAnsi="仿宋" w:eastAsia="仿宋" w:cs="仿宋"/>
          <w:color w:val="auto"/>
          <w:sz w:val="28"/>
          <w:szCs w:val="20"/>
          <w:highlight w:val="none"/>
          <w:lang w:val="en-US" w:eastAsia="zh-CN"/>
        </w:rPr>
        <w:t>1</w:t>
      </w:r>
      <w:r>
        <w:rPr>
          <w:rFonts w:hint="eastAsia" w:ascii="仿宋" w:hAnsi="仿宋" w:eastAsia="仿宋" w:cs="仿宋"/>
          <w:color w:val="auto"/>
          <w:sz w:val="28"/>
          <w:szCs w:val="20"/>
          <w:highlight w:val="none"/>
        </w:rPr>
        <w:t>：</w:t>
      </w:r>
      <w:r>
        <w:rPr>
          <w:rFonts w:hint="eastAsia" w:ascii="仿宋" w:hAnsi="仿宋" w:eastAsia="仿宋" w:cs="仿宋"/>
          <w:color w:val="auto"/>
          <w:sz w:val="28"/>
          <w:szCs w:val="20"/>
          <w:highlight w:val="none"/>
          <w:lang w:val="en-US" w:eastAsia="zh-CN"/>
        </w:rPr>
        <w:t>重庆市主城区“两江四岸”夜市“开灯仪式”项目南岸区景观灯饰2026年度上半年日常维护管理项目清单；</w:t>
      </w:r>
    </w:p>
    <w:p>
      <w:pPr>
        <w:spacing w:line="440" w:lineRule="exact"/>
        <w:ind w:firstLine="560" w:firstLineChars="200"/>
        <w:rPr>
          <w:rFonts w:hint="eastAsia" w:ascii="仿宋" w:hAnsi="仿宋" w:eastAsia="仿宋" w:cs="仿宋"/>
          <w:color w:val="auto"/>
          <w:sz w:val="28"/>
          <w:szCs w:val="20"/>
          <w:highlight w:val="none"/>
          <w:lang w:eastAsia="zh-CN"/>
        </w:rPr>
      </w:pPr>
      <w:r>
        <w:rPr>
          <w:rFonts w:hint="eastAsia" w:ascii="仿宋" w:hAnsi="仿宋" w:eastAsia="仿宋" w:cs="仿宋"/>
          <w:color w:val="auto"/>
          <w:sz w:val="28"/>
          <w:szCs w:val="20"/>
          <w:highlight w:val="none"/>
        </w:rPr>
        <w:t>附件</w:t>
      </w:r>
      <w:r>
        <w:rPr>
          <w:rFonts w:hint="eastAsia" w:ascii="仿宋" w:hAnsi="仿宋" w:eastAsia="仿宋" w:cs="仿宋"/>
          <w:color w:val="auto"/>
          <w:sz w:val="28"/>
          <w:szCs w:val="20"/>
          <w:highlight w:val="none"/>
          <w:lang w:val="en-US" w:eastAsia="zh-CN"/>
        </w:rPr>
        <w:t>2</w:t>
      </w:r>
      <w:r>
        <w:rPr>
          <w:rFonts w:hint="eastAsia" w:ascii="仿宋" w:hAnsi="仿宋" w:eastAsia="仿宋" w:cs="仿宋"/>
          <w:color w:val="auto"/>
          <w:sz w:val="28"/>
          <w:szCs w:val="20"/>
          <w:highlight w:val="none"/>
        </w:rPr>
        <w:t>：灯饰管护工作主要人员名单</w:t>
      </w:r>
      <w:r>
        <w:rPr>
          <w:rFonts w:hint="eastAsia" w:ascii="仿宋" w:hAnsi="仿宋" w:eastAsia="仿宋" w:cs="仿宋"/>
          <w:color w:val="auto"/>
          <w:sz w:val="28"/>
          <w:szCs w:val="20"/>
          <w:highlight w:val="none"/>
          <w:lang w:eastAsia="zh-CN"/>
        </w:rPr>
        <w:t>；</w:t>
      </w:r>
    </w:p>
    <w:p>
      <w:pPr>
        <w:spacing w:line="440" w:lineRule="exact"/>
        <w:ind w:firstLine="560" w:firstLineChars="200"/>
        <w:rPr>
          <w:rFonts w:hint="eastAsia" w:ascii="仿宋" w:hAnsi="仿宋" w:eastAsia="仿宋" w:cs="仿宋"/>
          <w:color w:val="auto"/>
          <w:sz w:val="28"/>
          <w:szCs w:val="20"/>
          <w:highlight w:val="none"/>
          <w:lang w:eastAsia="zh-CN"/>
        </w:rPr>
      </w:pPr>
      <w:r>
        <w:rPr>
          <w:rFonts w:hint="eastAsia" w:ascii="仿宋" w:hAnsi="仿宋" w:eastAsia="仿宋" w:cs="仿宋"/>
          <w:color w:val="auto"/>
          <w:sz w:val="28"/>
          <w:szCs w:val="20"/>
          <w:highlight w:val="none"/>
        </w:rPr>
        <w:t>附件</w:t>
      </w:r>
      <w:r>
        <w:rPr>
          <w:rFonts w:hint="eastAsia" w:ascii="仿宋" w:hAnsi="仿宋" w:eastAsia="仿宋" w:cs="仿宋"/>
          <w:color w:val="auto"/>
          <w:sz w:val="28"/>
          <w:szCs w:val="20"/>
          <w:highlight w:val="none"/>
          <w:lang w:val="en-US" w:eastAsia="zh-CN"/>
        </w:rPr>
        <w:t>3</w:t>
      </w:r>
      <w:r>
        <w:rPr>
          <w:rFonts w:hint="eastAsia" w:ascii="仿宋" w:hAnsi="仿宋" w:eastAsia="仿宋" w:cs="仿宋"/>
          <w:color w:val="auto"/>
          <w:sz w:val="28"/>
          <w:szCs w:val="20"/>
          <w:highlight w:val="none"/>
        </w:rPr>
        <w:t>：南岸区景观照明设施维护服务标准</w:t>
      </w:r>
      <w:r>
        <w:rPr>
          <w:rFonts w:hint="eastAsia" w:ascii="仿宋" w:hAnsi="仿宋" w:eastAsia="仿宋" w:cs="仿宋"/>
          <w:color w:val="auto"/>
          <w:sz w:val="28"/>
          <w:szCs w:val="20"/>
          <w:highlight w:val="none"/>
          <w:lang w:eastAsia="zh-CN"/>
        </w:rPr>
        <w:t>；</w:t>
      </w:r>
    </w:p>
    <w:p>
      <w:pPr>
        <w:spacing w:line="440" w:lineRule="exact"/>
        <w:ind w:firstLine="560" w:firstLineChars="200"/>
        <w:rPr>
          <w:rFonts w:hint="default" w:eastAsia="仿宋"/>
          <w:highlight w:val="none"/>
          <w:lang w:val="en-US" w:eastAsia="zh-CN"/>
        </w:rPr>
      </w:pPr>
      <w:r>
        <w:rPr>
          <w:rFonts w:hint="eastAsia" w:ascii="仿宋" w:hAnsi="仿宋" w:eastAsia="仿宋" w:cs="仿宋"/>
          <w:color w:val="auto"/>
          <w:sz w:val="28"/>
          <w:szCs w:val="20"/>
          <w:highlight w:val="none"/>
        </w:rPr>
        <w:t>附件</w:t>
      </w:r>
      <w:r>
        <w:rPr>
          <w:rFonts w:hint="eastAsia" w:ascii="仿宋" w:hAnsi="仿宋" w:eastAsia="仿宋" w:cs="仿宋"/>
          <w:color w:val="auto"/>
          <w:sz w:val="28"/>
          <w:szCs w:val="20"/>
          <w:highlight w:val="none"/>
          <w:lang w:val="en-US" w:eastAsia="zh-CN"/>
        </w:rPr>
        <w:t>4</w:t>
      </w:r>
      <w:r>
        <w:rPr>
          <w:rFonts w:hint="eastAsia" w:ascii="仿宋" w:hAnsi="仿宋" w:eastAsia="仿宋" w:cs="仿宋"/>
          <w:color w:val="auto"/>
          <w:sz w:val="28"/>
          <w:szCs w:val="20"/>
          <w:highlight w:val="none"/>
        </w:rPr>
        <w:t>：南岸区景观照明设施维护考核办法</w:t>
      </w:r>
      <w:r>
        <w:rPr>
          <w:rFonts w:hint="eastAsia" w:ascii="仿宋" w:hAnsi="仿宋" w:eastAsia="仿宋" w:cs="仿宋"/>
          <w:color w:val="auto"/>
          <w:sz w:val="28"/>
          <w:szCs w:val="20"/>
          <w:highlight w:val="none"/>
          <w:lang w:eastAsia="zh-CN"/>
        </w:rPr>
        <w:t>。</w:t>
      </w:r>
    </w:p>
    <w:p>
      <w:pPr>
        <w:spacing w:line="440" w:lineRule="exact"/>
        <w:ind w:firstLine="560" w:firstLineChars="200"/>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（以下无正文）</w:t>
      </w:r>
    </w:p>
    <w:p>
      <w:pPr>
        <w:spacing w:line="440" w:lineRule="exact"/>
        <w:rPr>
          <w:rFonts w:ascii="仿宋" w:hAnsi="仿宋" w:eastAsia="仿宋" w:cs="仿宋"/>
          <w:color w:val="auto"/>
          <w:sz w:val="28"/>
          <w:szCs w:val="20"/>
          <w:highlight w:val="none"/>
        </w:rPr>
      </w:pPr>
    </w:p>
    <w:p>
      <w:pPr>
        <w:spacing w:line="440" w:lineRule="exact"/>
        <w:rPr>
          <w:rFonts w:hint="eastAsia" w:ascii="仿宋" w:hAnsi="仿宋" w:eastAsia="仿宋" w:cs="仿宋"/>
          <w:color w:val="auto"/>
          <w:sz w:val="28"/>
          <w:szCs w:val="20"/>
          <w:highlight w:val="none"/>
        </w:rPr>
      </w:pPr>
    </w:p>
    <w:p>
      <w:pPr>
        <w:spacing w:line="440" w:lineRule="exact"/>
        <w:rPr>
          <w:rFonts w:hint="eastAsia" w:ascii="仿宋" w:hAnsi="仿宋" w:eastAsia="仿宋" w:cs="仿宋"/>
          <w:color w:val="auto"/>
          <w:sz w:val="28"/>
          <w:szCs w:val="20"/>
          <w:highlight w:val="none"/>
        </w:rPr>
      </w:pPr>
    </w:p>
    <w:p>
      <w:pPr>
        <w:spacing w:line="440" w:lineRule="exact"/>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 xml:space="preserve">甲方：（盖章）                     乙方：（盖章） </w:t>
      </w:r>
    </w:p>
    <w:p>
      <w:pPr>
        <w:spacing w:line="440" w:lineRule="exact"/>
        <w:rPr>
          <w:rFonts w:ascii="仿宋" w:hAnsi="仿宋" w:eastAsia="仿宋" w:cs="仿宋"/>
          <w:color w:val="auto"/>
          <w:sz w:val="28"/>
          <w:szCs w:val="20"/>
          <w:highlight w:val="none"/>
        </w:rPr>
      </w:pPr>
    </w:p>
    <w:p>
      <w:pPr>
        <w:spacing w:line="440" w:lineRule="exact"/>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法人代表：                         法人代表：</w:t>
      </w:r>
    </w:p>
    <w:p>
      <w:pPr>
        <w:spacing w:line="440" w:lineRule="exact"/>
        <w:rPr>
          <w:rFonts w:ascii="仿宋" w:hAnsi="仿宋" w:eastAsia="仿宋" w:cs="仿宋"/>
          <w:color w:val="auto"/>
          <w:sz w:val="28"/>
          <w:szCs w:val="20"/>
          <w:highlight w:val="none"/>
        </w:rPr>
      </w:pPr>
    </w:p>
    <w:p>
      <w:pPr>
        <w:spacing w:line="440" w:lineRule="exact"/>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委托代理人：                       委托代理人：</w:t>
      </w:r>
    </w:p>
    <w:p>
      <w:pPr>
        <w:spacing w:line="440" w:lineRule="exact"/>
        <w:rPr>
          <w:rFonts w:ascii="仿宋" w:hAnsi="仿宋" w:eastAsia="仿宋" w:cs="仿宋"/>
          <w:color w:val="auto"/>
          <w:sz w:val="28"/>
          <w:szCs w:val="20"/>
          <w:highlight w:val="none"/>
        </w:rPr>
      </w:pPr>
    </w:p>
    <w:p>
      <w:pPr>
        <w:spacing w:line="440" w:lineRule="exact"/>
        <w:rPr>
          <w:rFonts w:ascii="仿宋" w:hAnsi="仿宋" w:eastAsia="仿宋" w:cs="仿宋"/>
          <w:color w:val="auto"/>
          <w:sz w:val="28"/>
          <w:szCs w:val="20"/>
          <w:highlight w:val="none"/>
        </w:rPr>
      </w:pPr>
      <w:r>
        <w:rPr>
          <w:rFonts w:hint="eastAsia" w:ascii="仿宋" w:hAnsi="仿宋" w:eastAsia="仿宋" w:cs="仿宋"/>
          <w:color w:val="auto"/>
          <w:sz w:val="28"/>
          <w:szCs w:val="20"/>
          <w:highlight w:val="none"/>
          <w:lang w:val="en-US" w:eastAsia="zh-CN"/>
        </w:rPr>
        <w:t>部门</w:t>
      </w:r>
      <w:r>
        <w:rPr>
          <w:rFonts w:hint="eastAsia" w:ascii="仿宋" w:hAnsi="仿宋" w:eastAsia="仿宋" w:cs="仿宋"/>
          <w:color w:val="auto"/>
          <w:sz w:val="28"/>
          <w:szCs w:val="20"/>
          <w:highlight w:val="none"/>
        </w:rPr>
        <w:t>负责人：                       经办人：</w:t>
      </w:r>
    </w:p>
    <w:p>
      <w:pPr>
        <w:spacing w:line="440" w:lineRule="exact"/>
        <w:rPr>
          <w:rFonts w:ascii="仿宋" w:hAnsi="仿宋" w:eastAsia="仿宋" w:cs="仿宋"/>
          <w:color w:val="auto"/>
          <w:sz w:val="28"/>
          <w:szCs w:val="20"/>
          <w:highlight w:val="none"/>
        </w:rPr>
      </w:pPr>
    </w:p>
    <w:p>
      <w:pPr>
        <w:spacing w:line="440" w:lineRule="exact"/>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经办人：                           地址</w:t>
      </w:r>
      <w:r>
        <w:rPr>
          <w:rFonts w:ascii="仿宋" w:hAnsi="仿宋" w:eastAsia="仿宋" w:cs="仿宋"/>
          <w:color w:val="auto"/>
          <w:sz w:val="28"/>
          <w:szCs w:val="20"/>
          <w:highlight w:val="none"/>
        </w:rPr>
        <w:t>：</w:t>
      </w:r>
    </w:p>
    <w:p>
      <w:pPr>
        <w:widowControl w:val="0"/>
        <w:spacing w:line="360" w:lineRule="auto"/>
        <w:ind w:firstLine="0"/>
        <w:jc w:val="both"/>
        <w:rPr>
          <w:rFonts w:ascii="Calibri" w:hAnsi="Calibri" w:eastAsia="仿宋_GB2312" w:cs="Calibri"/>
          <w:color w:val="auto"/>
          <w:kern w:val="2"/>
          <w:sz w:val="24"/>
          <w:highlight w:val="none"/>
          <w:lang w:val="en-US" w:eastAsia="zh-CN" w:bidi="ar-SA"/>
        </w:rPr>
      </w:pPr>
    </w:p>
    <w:p>
      <w:pPr>
        <w:spacing w:line="440" w:lineRule="exact"/>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地址</w:t>
      </w:r>
      <w:r>
        <w:rPr>
          <w:rFonts w:ascii="仿宋" w:hAnsi="仿宋" w:eastAsia="仿宋" w:cs="仿宋"/>
          <w:color w:val="auto"/>
          <w:sz w:val="28"/>
          <w:szCs w:val="20"/>
          <w:highlight w:val="none"/>
        </w:rPr>
        <w:t>：</w:t>
      </w:r>
    </w:p>
    <w:p>
      <w:pPr>
        <w:widowControl w:val="0"/>
        <w:spacing w:line="360" w:lineRule="auto"/>
        <w:ind w:firstLine="420"/>
        <w:jc w:val="both"/>
        <w:rPr>
          <w:rFonts w:ascii="宋体" w:hAnsi="宋体" w:eastAsia="仿宋_GB2312" w:cs="Times New Roman"/>
          <w:color w:val="auto"/>
          <w:kern w:val="2"/>
          <w:sz w:val="24"/>
          <w:highlight w:val="none"/>
          <w:lang w:val="en-US" w:eastAsia="zh-CN" w:bidi="ar-SA"/>
        </w:rPr>
      </w:pPr>
    </w:p>
    <w:p>
      <w:pPr>
        <w:spacing w:line="440" w:lineRule="exact"/>
        <w:rPr>
          <w:rFonts w:ascii="仿宋" w:hAnsi="仿宋" w:eastAsia="仿宋" w:cs="仿宋"/>
          <w:color w:val="auto"/>
          <w:sz w:val="28"/>
          <w:szCs w:val="20"/>
          <w:highlight w:val="none"/>
        </w:rPr>
      </w:pPr>
      <w:r>
        <w:rPr>
          <w:rFonts w:hint="eastAsia" w:ascii="仿宋" w:hAnsi="仿宋" w:eastAsia="仿宋" w:cs="仿宋"/>
          <w:color w:val="auto"/>
          <w:sz w:val="28"/>
          <w:szCs w:val="20"/>
          <w:highlight w:val="none"/>
        </w:rPr>
        <w:t>年     月    日                         年    月    日</w:t>
      </w:r>
    </w:p>
    <w:p>
      <w:pPr>
        <w:spacing w:line="360" w:lineRule="auto"/>
        <w:rPr>
          <w:rFonts w:ascii="方正仿宋_GBK" w:hAnsi="宋体" w:eastAsia="方正仿宋_GBK" w:cs="宋体"/>
          <w:bCs/>
          <w:color w:val="auto"/>
          <w:sz w:val="32"/>
          <w:szCs w:val="32"/>
          <w:highlight w:val="none"/>
        </w:rPr>
      </w:pPr>
    </w:p>
    <w:p>
      <w:pPr>
        <w:spacing w:line="360" w:lineRule="auto"/>
        <w:rPr>
          <w:rFonts w:ascii="方正仿宋_GBK" w:hAnsi="宋体" w:eastAsia="方正仿宋_GBK" w:cs="宋体"/>
          <w:bCs/>
          <w:color w:val="auto"/>
          <w:sz w:val="32"/>
          <w:szCs w:val="32"/>
          <w:highlight w:val="none"/>
        </w:rPr>
      </w:pPr>
    </w:p>
    <w:p>
      <w:pPr>
        <w:spacing w:line="360" w:lineRule="auto"/>
        <w:rPr>
          <w:rFonts w:ascii="方正仿宋_GBK" w:hAnsi="宋体" w:eastAsia="方正仿宋_GBK" w:cs="宋体"/>
          <w:bCs/>
          <w:color w:val="auto"/>
          <w:sz w:val="32"/>
          <w:szCs w:val="32"/>
          <w:highlight w:val="none"/>
        </w:rPr>
      </w:pPr>
    </w:p>
    <w:p>
      <w:pPr>
        <w:spacing w:line="360" w:lineRule="auto"/>
        <w:rPr>
          <w:rFonts w:ascii="仿宋" w:hAnsi="仿宋" w:eastAsia="仿宋" w:cs="仿宋"/>
          <w:color w:val="auto"/>
          <w:sz w:val="32"/>
          <w:szCs w:val="32"/>
          <w:highlight w:val="none"/>
        </w:rPr>
      </w:pPr>
      <w:r>
        <w:rPr>
          <w:rFonts w:hint="eastAsia" w:ascii="仿宋" w:hAnsi="仿宋" w:eastAsia="仿宋" w:cs="仿宋"/>
          <w:bCs/>
          <w:color w:val="auto"/>
          <w:sz w:val="32"/>
          <w:szCs w:val="32"/>
          <w:highlight w:val="none"/>
        </w:rPr>
        <w:t>附件</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rPr>
        <w:t>：</w:t>
      </w:r>
      <w:r>
        <w:rPr>
          <w:rFonts w:hint="eastAsia" w:ascii="仿宋" w:hAnsi="仿宋" w:eastAsia="仿宋" w:cs="仿宋"/>
          <w:bCs/>
          <w:color w:val="auto"/>
          <w:sz w:val="32"/>
          <w:szCs w:val="32"/>
          <w:highlight w:val="none"/>
          <w:lang w:eastAsia="zh-CN"/>
        </w:rPr>
        <w:t>重庆市</w:t>
      </w:r>
      <w:r>
        <w:rPr>
          <w:rFonts w:hint="eastAsia" w:ascii="仿宋" w:hAnsi="仿宋" w:eastAsia="仿宋" w:cs="仿宋"/>
          <w:bCs/>
          <w:color w:val="auto"/>
          <w:sz w:val="32"/>
          <w:szCs w:val="32"/>
          <w:highlight w:val="none"/>
          <w:lang w:val="en-US" w:eastAsia="zh-CN"/>
        </w:rPr>
        <w:t>主城区</w:t>
      </w:r>
      <w:r>
        <w:rPr>
          <w:rFonts w:hint="eastAsia" w:ascii="仿宋" w:hAnsi="仿宋" w:eastAsia="仿宋" w:cs="仿宋"/>
          <w:bCs/>
          <w:color w:val="auto"/>
          <w:sz w:val="32"/>
          <w:szCs w:val="32"/>
          <w:highlight w:val="none"/>
          <w:lang w:eastAsia="zh-CN"/>
        </w:rPr>
        <w:t>“两江四岸”夜市“开灯仪式”项目</w:t>
      </w:r>
      <w:r>
        <w:rPr>
          <w:rFonts w:hint="eastAsia" w:ascii="仿宋" w:hAnsi="仿宋" w:eastAsia="仿宋" w:cs="仿宋"/>
          <w:bCs/>
          <w:color w:val="auto"/>
          <w:sz w:val="32"/>
          <w:szCs w:val="32"/>
          <w:highlight w:val="none"/>
          <w:lang w:val="en-US" w:eastAsia="zh-CN"/>
        </w:rPr>
        <w:t>南岸区景观灯饰2026年度上半年日常维护管理项目清单</w:t>
      </w:r>
    </w:p>
    <w:p>
      <w:pPr>
        <w:spacing w:line="360" w:lineRule="auto"/>
        <w:rPr>
          <w:rFonts w:ascii="仿宋" w:hAnsi="仿宋" w:eastAsia="仿宋" w:cs="仿宋"/>
          <w:color w:val="auto"/>
          <w:sz w:val="32"/>
          <w:szCs w:val="32"/>
          <w:highlight w:val="none"/>
        </w:rPr>
      </w:pPr>
    </w:p>
    <w:p>
      <w:pPr>
        <w:spacing w:line="360" w:lineRule="auto"/>
        <w:rPr>
          <w:rFonts w:ascii="仿宋" w:hAnsi="仿宋" w:eastAsia="仿宋" w:cs="仿宋"/>
          <w:color w:val="auto"/>
          <w:sz w:val="32"/>
          <w:szCs w:val="32"/>
          <w:highlight w:val="none"/>
        </w:rPr>
      </w:pPr>
    </w:p>
    <w:p>
      <w:pPr>
        <w:spacing w:line="360" w:lineRule="auto"/>
        <w:rPr>
          <w:rFonts w:ascii="仿宋" w:hAnsi="仿宋" w:eastAsia="仿宋" w:cs="仿宋"/>
          <w:color w:val="auto"/>
          <w:sz w:val="32"/>
          <w:szCs w:val="32"/>
          <w:highlight w:val="none"/>
        </w:rPr>
      </w:pPr>
    </w:p>
    <w:p>
      <w:pPr>
        <w:pStyle w:val="2"/>
      </w:pPr>
    </w:p>
    <w:p>
      <w:pPr>
        <w:spacing w:line="360" w:lineRule="auto"/>
        <w:rPr>
          <w:rFonts w:ascii="仿宋" w:hAnsi="仿宋" w:eastAsia="仿宋" w:cs="仿宋"/>
          <w:color w:val="auto"/>
          <w:sz w:val="32"/>
          <w:szCs w:val="32"/>
          <w:highlight w:val="none"/>
        </w:rPr>
      </w:pPr>
    </w:p>
    <w:p>
      <w:pPr>
        <w:spacing w:line="360" w:lineRule="auto"/>
        <w:rPr>
          <w:rFonts w:ascii="仿宋" w:hAnsi="仿宋" w:eastAsia="仿宋" w:cs="仿宋"/>
          <w:color w:val="auto"/>
          <w:sz w:val="32"/>
          <w:szCs w:val="32"/>
          <w:highlight w:val="none"/>
        </w:rPr>
      </w:pPr>
    </w:p>
    <w:p>
      <w:pPr>
        <w:spacing w:line="360" w:lineRule="auto"/>
        <w:rPr>
          <w:rFonts w:ascii="仿宋" w:hAnsi="仿宋" w:eastAsia="仿宋" w:cs="仿宋"/>
          <w:color w:val="auto"/>
          <w:sz w:val="32"/>
          <w:szCs w:val="32"/>
          <w:highlight w:val="none"/>
        </w:rPr>
      </w:pPr>
    </w:p>
    <w:p>
      <w:pPr>
        <w:spacing w:line="360" w:lineRule="auto"/>
        <w:rPr>
          <w:rFonts w:ascii="仿宋" w:hAnsi="仿宋" w:eastAsia="仿宋" w:cs="仿宋"/>
          <w:color w:val="auto"/>
          <w:sz w:val="32"/>
          <w:szCs w:val="32"/>
          <w:highlight w:val="none"/>
        </w:rPr>
      </w:pPr>
    </w:p>
    <w:p>
      <w:pPr>
        <w:spacing w:line="360" w:lineRule="auto"/>
        <w:rPr>
          <w:rFonts w:ascii="仿宋" w:hAnsi="仿宋" w:eastAsia="仿宋" w:cs="仿宋"/>
          <w:color w:val="auto"/>
          <w:sz w:val="32"/>
          <w:szCs w:val="32"/>
          <w:highlight w:val="none"/>
        </w:rPr>
      </w:pPr>
    </w:p>
    <w:p>
      <w:pPr>
        <w:spacing w:line="360" w:lineRule="auto"/>
        <w:rPr>
          <w:rFonts w:ascii="仿宋" w:hAnsi="仿宋" w:eastAsia="仿宋" w:cs="仿宋"/>
          <w:color w:val="auto"/>
          <w:sz w:val="32"/>
          <w:szCs w:val="32"/>
          <w:highlight w:val="none"/>
        </w:rPr>
      </w:pPr>
    </w:p>
    <w:p>
      <w:pPr>
        <w:spacing w:line="360" w:lineRule="auto"/>
        <w:rPr>
          <w:rFonts w:ascii="仿宋" w:hAnsi="仿宋" w:eastAsia="仿宋" w:cs="仿宋"/>
          <w:color w:val="auto"/>
          <w:sz w:val="32"/>
          <w:szCs w:val="32"/>
          <w:highlight w:val="none"/>
        </w:rPr>
      </w:pPr>
    </w:p>
    <w:p>
      <w:pPr>
        <w:spacing w:line="360" w:lineRule="auto"/>
        <w:rPr>
          <w:rFonts w:ascii="仿宋" w:hAnsi="仿宋" w:eastAsia="仿宋" w:cs="仿宋"/>
          <w:color w:val="auto"/>
          <w:sz w:val="32"/>
          <w:szCs w:val="32"/>
          <w:highlight w:val="none"/>
        </w:rPr>
      </w:pPr>
    </w:p>
    <w:p>
      <w:pPr>
        <w:spacing w:line="360" w:lineRule="auto"/>
        <w:rPr>
          <w:rFonts w:ascii="仿宋" w:hAnsi="仿宋" w:eastAsia="仿宋" w:cs="仿宋"/>
          <w:color w:val="auto"/>
          <w:sz w:val="32"/>
          <w:szCs w:val="32"/>
          <w:highlight w:val="none"/>
        </w:rPr>
      </w:pPr>
    </w:p>
    <w:p>
      <w:pPr>
        <w:spacing w:line="360" w:lineRule="auto"/>
        <w:rPr>
          <w:rFonts w:ascii="仿宋" w:hAnsi="仿宋" w:eastAsia="仿宋" w:cs="仿宋"/>
          <w:color w:val="auto"/>
          <w:sz w:val="32"/>
          <w:szCs w:val="32"/>
          <w:highlight w:val="none"/>
        </w:rPr>
      </w:pPr>
    </w:p>
    <w:p>
      <w:pPr>
        <w:spacing w:line="360" w:lineRule="auto"/>
        <w:rPr>
          <w:rFonts w:ascii="仿宋" w:hAnsi="仿宋" w:eastAsia="仿宋" w:cs="仿宋"/>
          <w:color w:val="auto"/>
          <w:sz w:val="32"/>
          <w:szCs w:val="32"/>
          <w:highlight w:val="none"/>
        </w:rPr>
      </w:pPr>
    </w:p>
    <w:p>
      <w:pPr>
        <w:spacing w:line="360" w:lineRule="auto"/>
        <w:rPr>
          <w:rFonts w:ascii="仿宋" w:hAnsi="仿宋" w:eastAsia="仿宋" w:cs="仿宋"/>
          <w:color w:val="auto"/>
          <w:sz w:val="32"/>
          <w:szCs w:val="32"/>
          <w:highlight w:val="none"/>
        </w:rPr>
      </w:pPr>
    </w:p>
    <w:p>
      <w:pPr>
        <w:spacing w:line="360" w:lineRule="auto"/>
        <w:rPr>
          <w:rFonts w:ascii="仿宋" w:hAnsi="仿宋" w:eastAsia="仿宋" w:cs="仿宋"/>
          <w:color w:val="auto"/>
          <w:sz w:val="32"/>
          <w:szCs w:val="32"/>
          <w:highlight w:val="none"/>
        </w:rPr>
      </w:pPr>
    </w:p>
    <w:p>
      <w:pPr>
        <w:spacing w:line="360" w:lineRule="auto"/>
        <w:rPr>
          <w:rFonts w:ascii="仿宋" w:hAnsi="仿宋" w:eastAsia="仿宋" w:cs="仿宋"/>
          <w:color w:val="auto"/>
          <w:sz w:val="32"/>
          <w:szCs w:val="32"/>
          <w:highlight w:val="none"/>
        </w:rPr>
      </w:pPr>
    </w:p>
    <w:p>
      <w:pPr>
        <w:spacing w:line="360" w:lineRule="auto"/>
        <w:rPr>
          <w:rFonts w:ascii="仿宋" w:hAnsi="仿宋" w:eastAsia="仿宋" w:cs="仿宋"/>
          <w:color w:val="auto"/>
          <w:sz w:val="32"/>
          <w:szCs w:val="32"/>
          <w:highlight w:val="none"/>
        </w:rPr>
      </w:pPr>
    </w:p>
    <w:p>
      <w:pPr>
        <w:spacing w:line="360" w:lineRule="auto"/>
        <w:rPr>
          <w:rFonts w:ascii="仿宋" w:hAnsi="仿宋" w:eastAsia="仿宋" w:cs="仿宋"/>
          <w:color w:val="auto"/>
          <w:sz w:val="32"/>
          <w:szCs w:val="32"/>
          <w:highlight w:val="none"/>
        </w:rPr>
      </w:pPr>
    </w:p>
    <w:p>
      <w:pPr>
        <w:spacing w:line="360" w:lineRule="auto"/>
        <w:rPr>
          <w:rFonts w:hint="eastAsia" w:ascii="仿宋" w:hAnsi="仿宋" w:eastAsia="仿宋" w:cs="仿宋"/>
          <w:color w:val="auto"/>
          <w:sz w:val="28"/>
          <w:szCs w:val="28"/>
          <w:highlight w:val="none"/>
        </w:rPr>
      </w:pPr>
      <w:r>
        <w:rPr>
          <w:rFonts w:ascii="仿宋" w:hAnsi="仿宋" w:eastAsia="仿宋" w:cs="仿宋"/>
          <w:color w:val="auto"/>
          <w:sz w:val="32"/>
          <w:szCs w:val="32"/>
          <w:highlight w:val="none"/>
        </w:rPr>
        <w:br w:type="page"/>
      </w:r>
      <w:r>
        <w:rPr>
          <w:rFonts w:hint="eastAsia" w:ascii="仿宋" w:hAnsi="仿宋" w:eastAsia="仿宋" w:cs="仿宋"/>
          <w:color w:val="auto"/>
          <w:sz w:val="32"/>
          <w:szCs w:val="32"/>
          <w:highlight w:val="none"/>
        </w:rPr>
        <w:t>附件</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：灯饰管护工作主要人员名单</w:t>
      </w:r>
    </w:p>
    <w:p>
      <w:pPr>
        <w:spacing w:line="580" w:lineRule="exact"/>
        <w:rPr>
          <w:rFonts w:hint="eastAsia" w:ascii="仿宋" w:hAnsi="仿宋" w:eastAsia="仿宋" w:cs="仿宋"/>
          <w:color w:val="auto"/>
          <w:sz w:val="24"/>
          <w:szCs w:val="20"/>
          <w:highlight w:val="none"/>
        </w:rPr>
      </w:pPr>
    </w:p>
    <w:tbl>
      <w:tblPr>
        <w:tblStyle w:val="7"/>
        <w:tblW w:w="98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733"/>
        <w:gridCol w:w="1084"/>
        <w:gridCol w:w="1708"/>
        <w:gridCol w:w="2825"/>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815" w:type="dxa"/>
            <w:vMerge w:val="restart"/>
            <w:noWrap w:val="0"/>
            <w:vAlign w:val="center"/>
          </w:tcPr>
          <w:p>
            <w:pPr>
              <w:widowControl/>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序号</w:t>
            </w:r>
          </w:p>
        </w:tc>
        <w:tc>
          <w:tcPr>
            <w:tcW w:w="1733" w:type="dxa"/>
            <w:vMerge w:val="restart"/>
            <w:noWrap w:val="0"/>
            <w:vAlign w:val="center"/>
          </w:tcPr>
          <w:p>
            <w:pPr>
              <w:widowControl/>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职务</w:t>
            </w:r>
          </w:p>
        </w:tc>
        <w:tc>
          <w:tcPr>
            <w:tcW w:w="1084" w:type="dxa"/>
            <w:vMerge w:val="restart"/>
            <w:noWrap w:val="0"/>
            <w:vAlign w:val="center"/>
          </w:tcPr>
          <w:p>
            <w:pPr>
              <w:widowControl/>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姓名</w:t>
            </w:r>
          </w:p>
        </w:tc>
        <w:tc>
          <w:tcPr>
            <w:tcW w:w="4533" w:type="dxa"/>
            <w:gridSpan w:val="2"/>
            <w:noWrap w:val="0"/>
            <w:vAlign w:val="center"/>
          </w:tcPr>
          <w:p>
            <w:pPr>
              <w:widowControl/>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执业或职业资格证明</w:t>
            </w:r>
          </w:p>
        </w:tc>
        <w:tc>
          <w:tcPr>
            <w:tcW w:w="1653" w:type="dxa"/>
            <w:vMerge w:val="restart"/>
            <w:noWrap w:val="0"/>
            <w:vAlign w:val="center"/>
          </w:tcPr>
          <w:p>
            <w:pPr>
              <w:widowControl/>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815" w:type="dxa"/>
            <w:vMerge w:val="continue"/>
            <w:noWrap w:val="0"/>
            <w:vAlign w:val="center"/>
          </w:tcPr>
          <w:p>
            <w:pPr>
              <w:widowControl/>
              <w:jc w:val="center"/>
              <w:rPr>
                <w:rFonts w:hint="eastAsia" w:ascii="仿宋" w:hAnsi="仿宋" w:eastAsia="仿宋" w:cs="仿宋"/>
                <w:color w:val="auto"/>
                <w:kern w:val="0"/>
                <w:sz w:val="24"/>
                <w:szCs w:val="20"/>
                <w:highlight w:val="none"/>
              </w:rPr>
            </w:pPr>
          </w:p>
        </w:tc>
        <w:tc>
          <w:tcPr>
            <w:tcW w:w="1733" w:type="dxa"/>
            <w:vMerge w:val="continue"/>
            <w:noWrap w:val="0"/>
            <w:vAlign w:val="center"/>
          </w:tcPr>
          <w:p>
            <w:pPr>
              <w:widowControl/>
              <w:jc w:val="center"/>
              <w:rPr>
                <w:rFonts w:hint="eastAsia" w:ascii="仿宋" w:hAnsi="仿宋" w:eastAsia="仿宋" w:cs="仿宋"/>
                <w:color w:val="auto"/>
                <w:kern w:val="0"/>
                <w:sz w:val="24"/>
                <w:szCs w:val="20"/>
                <w:highlight w:val="none"/>
              </w:rPr>
            </w:pPr>
          </w:p>
        </w:tc>
        <w:tc>
          <w:tcPr>
            <w:tcW w:w="1084" w:type="dxa"/>
            <w:vMerge w:val="continue"/>
            <w:noWrap w:val="0"/>
            <w:vAlign w:val="center"/>
          </w:tcPr>
          <w:p>
            <w:pPr>
              <w:widowControl/>
              <w:jc w:val="center"/>
              <w:rPr>
                <w:rFonts w:hint="eastAsia" w:ascii="仿宋" w:hAnsi="仿宋" w:eastAsia="仿宋" w:cs="仿宋"/>
                <w:color w:val="auto"/>
                <w:kern w:val="0"/>
                <w:sz w:val="24"/>
                <w:szCs w:val="20"/>
                <w:highlight w:val="none"/>
              </w:rPr>
            </w:pPr>
          </w:p>
        </w:tc>
        <w:tc>
          <w:tcPr>
            <w:tcW w:w="1708" w:type="dxa"/>
            <w:noWrap w:val="0"/>
            <w:vAlign w:val="center"/>
          </w:tcPr>
          <w:p>
            <w:pPr>
              <w:widowControl/>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证书及级别</w:t>
            </w:r>
          </w:p>
        </w:tc>
        <w:tc>
          <w:tcPr>
            <w:tcW w:w="2825" w:type="dxa"/>
            <w:noWrap w:val="0"/>
            <w:vAlign w:val="center"/>
          </w:tcPr>
          <w:p>
            <w:pPr>
              <w:widowControl/>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证号</w:t>
            </w:r>
          </w:p>
        </w:tc>
        <w:tc>
          <w:tcPr>
            <w:tcW w:w="1653" w:type="dxa"/>
            <w:vMerge w:val="continue"/>
            <w:noWrap w:val="0"/>
            <w:vAlign w:val="center"/>
          </w:tcPr>
          <w:p>
            <w:pPr>
              <w:widowControl/>
              <w:jc w:val="center"/>
              <w:rPr>
                <w:rFonts w:hint="eastAsia" w:ascii="仿宋" w:hAnsi="仿宋" w:eastAsia="仿宋" w:cs="仿宋"/>
                <w:color w:val="auto"/>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5" w:type="dxa"/>
            <w:noWrap w:val="0"/>
            <w:vAlign w:val="center"/>
          </w:tcPr>
          <w:p>
            <w:pPr>
              <w:widowControl/>
              <w:jc w:val="center"/>
              <w:rPr>
                <w:rFonts w:hint="eastAsia" w:ascii="仿宋" w:hAnsi="仿宋" w:eastAsia="仿宋" w:cs="仿宋"/>
                <w:b w:val="0"/>
                <w:bCs w:val="0"/>
                <w:color w:val="auto"/>
                <w:kern w:val="0"/>
                <w:sz w:val="24"/>
                <w:szCs w:val="24"/>
                <w:highlight w:val="none"/>
                <w:lang w:val="en-US" w:eastAsia="zh-CN"/>
              </w:rPr>
            </w:pPr>
          </w:p>
        </w:tc>
        <w:tc>
          <w:tcPr>
            <w:tcW w:w="1733" w:type="dxa"/>
            <w:noWrap w:val="0"/>
            <w:vAlign w:val="center"/>
          </w:tcPr>
          <w:p>
            <w:pPr>
              <w:widowControl/>
              <w:jc w:val="center"/>
              <w:rPr>
                <w:rFonts w:hint="eastAsia" w:ascii="仿宋" w:hAnsi="仿宋" w:eastAsia="仿宋" w:cs="仿宋"/>
                <w:b w:val="0"/>
                <w:bCs w:val="0"/>
                <w:color w:val="auto"/>
                <w:kern w:val="0"/>
                <w:sz w:val="24"/>
                <w:szCs w:val="24"/>
                <w:highlight w:val="none"/>
                <w:lang w:val="en-US" w:eastAsia="zh-CN"/>
              </w:rPr>
            </w:pPr>
          </w:p>
        </w:tc>
        <w:tc>
          <w:tcPr>
            <w:tcW w:w="1084" w:type="dxa"/>
            <w:noWrap w:val="0"/>
            <w:vAlign w:val="center"/>
          </w:tcPr>
          <w:p>
            <w:pPr>
              <w:widowControl/>
              <w:jc w:val="center"/>
              <w:rPr>
                <w:rFonts w:hint="eastAsia" w:ascii="仿宋" w:hAnsi="仿宋" w:eastAsia="仿宋" w:cs="仿宋"/>
                <w:b w:val="0"/>
                <w:bCs w:val="0"/>
                <w:color w:val="auto"/>
                <w:kern w:val="0"/>
                <w:sz w:val="24"/>
                <w:szCs w:val="24"/>
                <w:highlight w:val="none"/>
                <w:lang w:val="en-US" w:eastAsia="zh-CN"/>
              </w:rPr>
            </w:pPr>
          </w:p>
        </w:tc>
        <w:tc>
          <w:tcPr>
            <w:tcW w:w="1708" w:type="dxa"/>
            <w:noWrap w:val="0"/>
            <w:vAlign w:val="center"/>
          </w:tcPr>
          <w:p>
            <w:pPr>
              <w:widowControl/>
              <w:jc w:val="center"/>
              <w:rPr>
                <w:rFonts w:hint="eastAsia" w:ascii="仿宋" w:hAnsi="仿宋" w:eastAsia="仿宋" w:cs="仿宋"/>
                <w:b w:val="0"/>
                <w:bCs w:val="0"/>
                <w:color w:val="auto"/>
                <w:kern w:val="2"/>
                <w:sz w:val="24"/>
                <w:szCs w:val="24"/>
                <w:highlight w:val="none"/>
                <w:lang w:val="en-US" w:eastAsia="zh-CN"/>
              </w:rPr>
            </w:pPr>
          </w:p>
        </w:tc>
        <w:tc>
          <w:tcPr>
            <w:tcW w:w="2825" w:type="dxa"/>
            <w:noWrap w:val="0"/>
            <w:vAlign w:val="center"/>
          </w:tcPr>
          <w:p>
            <w:pPr>
              <w:widowControl/>
              <w:jc w:val="left"/>
              <w:rPr>
                <w:rFonts w:hint="eastAsia" w:ascii="仿宋" w:hAnsi="仿宋" w:eastAsia="仿宋" w:cs="仿宋"/>
                <w:b w:val="0"/>
                <w:bCs w:val="0"/>
                <w:sz w:val="24"/>
                <w:szCs w:val="24"/>
                <w:highlight w:val="none"/>
                <w:lang w:val="en-US" w:eastAsia="zh-CN"/>
              </w:rPr>
            </w:pPr>
          </w:p>
        </w:tc>
        <w:tc>
          <w:tcPr>
            <w:tcW w:w="1653" w:type="dxa"/>
            <w:noWrap w:val="0"/>
            <w:vAlign w:val="center"/>
          </w:tcPr>
          <w:p>
            <w:pPr>
              <w:widowControl/>
              <w:tabs>
                <w:tab w:val="left" w:pos="425"/>
              </w:tabs>
              <w:jc w:val="left"/>
              <w:rPr>
                <w:rFonts w:hint="default" w:ascii="仿宋" w:hAnsi="仿宋" w:eastAsia="仿宋" w:cs="仿宋"/>
                <w:b w:val="0"/>
                <w:bCs w:val="0"/>
                <w:color w:val="auto"/>
                <w:kern w:val="0"/>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5" w:type="dxa"/>
            <w:noWrap w:val="0"/>
            <w:vAlign w:val="center"/>
          </w:tcPr>
          <w:p>
            <w:pPr>
              <w:widowControl/>
              <w:jc w:val="center"/>
              <w:rPr>
                <w:rFonts w:hint="eastAsia" w:ascii="仿宋" w:hAnsi="仿宋" w:eastAsia="仿宋" w:cs="仿宋"/>
                <w:b w:val="0"/>
                <w:bCs w:val="0"/>
                <w:color w:val="auto"/>
                <w:kern w:val="0"/>
                <w:sz w:val="24"/>
                <w:szCs w:val="24"/>
                <w:highlight w:val="none"/>
                <w:lang w:val="en-US" w:eastAsia="zh-CN"/>
              </w:rPr>
            </w:pPr>
          </w:p>
        </w:tc>
        <w:tc>
          <w:tcPr>
            <w:tcW w:w="1733" w:type="dxa"/>
            <w:noWrap w:val="0"/>
            <w:vAlign w:val="center"/>
          </w:tcPr>
          <w:p>
            <w:pPr>
              <w:widowControl/>
              <w:jc w:val="center"/>
              <w:rPr>
                <w:rFonts w:hint="eastAsia" w:ascii="仿宋" w:hAnsi="仿宋" w:eastAsia="仿宋" w:cs="仿宋"/>
                <w:b w:val="0"/>
                <w:bCs w:val="0"/>
                <w:color w:val="auto"/>
                <w:kern w:val="0"/>
                <w:sz w:val="24"/>
                <w:szCs w:val="24"/>
                <w:highlight w:val="none"/>
              </w:rPr>
            </w:pPr>
          </w:p>
        </w:tc>
        <w:tc>
          <w:tcPr>
            <w:tcW w:w="1084" w:type="dxa"/>
            <w:noWrap w:val="0"/>
            <w:vAlign w:val="center"/>
          </w:tcPr>
          <w:p>
            <w:pPr>
              <w:widowControl/>
              <w:jc w:val="center"/>
              <w:rPr>
                <w:rFonts w:hint="eastAsia" w:ascii="仿宋" w:hAnsi="仿宋" w:eastAsia="仿宋" w:cs="仿宋"/>
                <w:b w:val="0"/>
                <w:bCs w:val="0"/>
                <w:color w:val="auto"/>
                <w:kern w:val="0"/>
                <w:sz w:val="24"/>
                <w:szCs w:val="24"/>
                <w:highlight w:val="none"/>
              </w:rPr>
            </w:pPr>
          </w:p>
        </w:tc>
        <w:tc>
          <w:tcPr>
            <w:tcW w:w="1708" w:type="dxa"/>
            <w:noWrap w:val="0"/>
            <w:vAlign w:val="center"/>
          </w:tcPr>
          <w:p>
            <w:pPr>
              <w:widowControl/>
              <w:jc w:val="center"/>
              <w:rPr>
                <w:rFonts w:hint="eastAsia" w:ascii="仿宋" w:hAnsi="仿宋" w:eastAsia="仿宋" w:cs="仿宋"/>
                <w:b w:val="0"/>
                <w:bCs w:val="0"/>
                <w:color w:val="auto"/>
                <w:kern w:val="2"/>
                <w:sz w:val="24"/>
                <w:szCs w:val="24"/>
                <w:highlight w:val="none"/>
              </w:rPr>
            </w:pPr>
          </w:p>
        </w:tc>
        <w:tc>
          <w:tcPr>
            <w:tcW w:w="2825" w:type="dxa"/>
            <w:noWrap w:val="0"/>
            <w:vAlign w:val="center"/>
          </w:tcPr>
          <w:p>
            <w:pPr>
              <w:widowControl/>
              <w:jc w:val="left"/>
              <w:rPr>
                <w:rFonts w:hint="eastAsia" w:ascii="仿宋" w:hAnsi="仿宋" w:eastAsia="仿宋" w:cs="仿宋"/>
                <w:b w:val="0"/>
                <w:bCs w:val="0"/>
                <w:color w:val="auto"/>
                <w:kern w:val="2"/>
                <w:sz w:val="24"/>
                <w:szCs w:val="24"/>
                <w:highlight w:val="none"/>
              </w:rPr>
            </w:pPr>
          </w:p>
        </w:tc>
        <w:tc>
          <w:tcPr>
            <w:tcW w:w="1653" w:type="dxa"/>
            <w:noWrap w:val="0"/>
            <w:vAlign w:val="center"/>
          </w:tcPr>
          <w:p>
            <w:pPr>
              <w:widowControl/>
              <w:jc w:val="center"/>
              <w:rPr>
                <w:rFonts w:hint="default" w:ascii="仿宋" w:hAnsi="仿宋" w:eastAsia="仿宋" w:cs="仿宋"/>
                <w:b w:val="0"/>
                <w:bCs w:val="0"/>
                <w:color w:val="auto"/>
                <w:kern w:val="0"/>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5" w:type="dxa"/>
            <w:noWrap w:val="0"/>
            <w:vAlign w:val="center"/>
          </w:tcPr>
          <w:p>
            <w:pPr>
              <w:widowControl/>
              <w:jc w:val="center"/>
              <w:rPr>
                <w:rFonts w:hint="eastAsia" w:ascii="仿宋" w:hAnsi="仿宋" w:eastAsia="仿宋" w:cs="仿宋"/>
                <w:b w:val="0"/>
                <w:bCs w:val="0"/>
                <w:color w:val="auto"/>
                <w:kern w:val="0"/>
                <w:sz w:val="24"/>
                <w:szCs w:val="24"/>
                <w:highlight w:val="none"/>
                <w:lang w:val="en-US" w:eastAsia="zh-CN"/>
              </w:rPr>
            </w:pPr>
          </w:p>
        </w:tc>
        <w:tc>
          <w:tcPr>
            <w:tcW w:w="1733" w:type="dxa"/>
            <w:noWrap w:val="0"/>
            <w:vAlign w:val="center"/>
          </w:tcPr>
          <w:p>
            <w:pPr>
              <w:keepNext w:val="0"/>
              <w:keepLines w:val="0"/>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4"/>
                <w:szCs w:val="24"/>
                <w:highlight w:val="none"/>
              </w:rPr>
            </w:pPr>
          </w:p>
        </w:tc>
        <w:tc>
          <w:tcPr>
            <w:tcW w:w="1084" w:type="dxa"/>
            <w:noWrap w:val="0"/>
            <w:vAlign w:val="center"/>
          </w:tcPr>
          <w:p>
            <w:pPr>
              <w:keepNext w:val="0"/>
              <w:keepLines w:val="0"/>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4"/>
                <w:szCs w:val="24"/>
                <w:highlight w:val="none"/>
              </w:rPr>
            </w:pPr>
          </w:p>
        </w:tc>
        <w:tc>
          <w:tcPr>
            <w:tcW w:w="1708" w:type="dxa"/>
            <w:noWrap w:val="0"/>
            <w:vAlign w:val="center"/>
          </w:tcPr>
          <w:p>
            <w:pPr>
              <w:widowControl/>
              <w:jc w:val="center"/>
              <w:rPr>
                <w:rFonts w:hint="eastAsia" w:ascii="仿宋" w:hAnsi="仿宋" w:eastAsia="仿宋" w:cs="仿宋"/>
                <w:b w:val="0"/>
                <w:bCs w:val="0"/>
                <w:color w:val="auto"/>
                <w:kern w:val="0"/>
                <w:sz w:val="24"/>
                <w:szCs w:val="24"/>
                <w:highlight w:val="none"/>
              </w:rPr>
            </w:pPr>
          </w:p>
        </w:tc>
        <w:tc>
          <w:tcPr>
            <w:tcW w:w="2825" w:type="dxa"/>
            <w:noWrap w:val="0"/>
            <w:vAlign w:val="center"/>
          </w:tcPr>
          <w:p>
            <w:pPr>
              <w:widowControl/>
              <w:jc w:val="left"/>
              <w:rPr>
                <w:rFonts w:hint="eastAsia" w:ascii="仿宋" w:hAnsi="仿宋" w:eastAsia="仿宋" w:cs="仿宋"/>
                <w:b w:val="0"/>
                <w:bCs w:val="0"/>
                <w:color w:val="auto"/>
                <w:kern w:val="0"/>
                <w:sz w:val="24"/>
                <w:szCs w:val="24"/>
                <w:highlight w:val="none"/>
              </w:rPr>
            </w:pPr>
          </w:p>
        </w:tc>
        <w:tc>
          <w:tcPr>
            <w:tcW w:w="1653" w:type="dxa"/>
            <w:noWrap w:val="0"/>
            <w:vAlign w:val="center"/>
          </w:tcPr>
          <w:p>
            <w:pPr>
              <w:widowControl/>
              <w:jc w:val="center"/>
              <w:rPr>
                <w:rFonts w:hint="default" w:ascii="仿宋" w:hAnsi="仿宋" w:eastAsia="仿宋" w:cs="仿宋"/>
                <w:b w:val="0"/>
                <w:bCs w:val="0"/>
                <w:color w:val="auto"/>
                <w:kern w:val="0"/>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5" w:type="dxa"/>
            <w:noWrap w:val="0"/>
            <w:vAlign w:val="center"/>
          </w:tcPr>
          <w:p>
            <w:pPr>
              <w:widowControl/>
              <w:jc w:val="center"/>
              <w:rPr>
                <w:rFonts w:hint="eastAsia" w:ascii="仿宋" w:hAnsi="仿宋" w:eastAsia="仿宋" w:cs="仿宋"/>
                <w:b w:val="0"/>
                <w:bCs w:val="0"/>
                <w:color w:val="auto"/>
                <w:kern w:val="0"/>
                <w:sz w:val="24"/>
                <w:szCs w:val="24"/>
                <w:highlight w:val="none"/>
                <w:lang w:val="en-US" w:eastAsia="zh-CN"/>
              </w:rPr>
            </w:pPr>
          </w:p>
        </w:tc>
        <w:tc>
          <w:tcPr>
            <w:tcW w:w="1733" w:type="dxa"/>
            <w:noWrap w:val="0"/>
            <w:vAlign w:val="center"/>
          </w:tcPr>
          <w:p>
            <w:pPr>
              <w:keepNext w:val="0"/>
              <w:keepLines w:val="0"/>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4"/>
                <w:szCs w:val="24"/>
                <w:highlight w:val="none"/>
              </w:rPr>
            </w:pPr>
          </w:p>
        </w:tc>
        <w:tc>
          <w:tcPr>
            <w:tcW w:w="1084" w:type="dxa"/>
            <w:noWrap w:val="0"/>
            <w:vAlign w:val="center"/>
          </w:tcPr>
          <w:p>
            <w:pPr>
              <w:keepNext w:val="0"/>
              <w:keepLines w:val="0"/>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4"/>
                <w:szCs w:val="24"/>
                <w:highlight w:val="none"/>
              </w:rPr>
            </w:pPr>
          </w:p>
        </w:tc>
        <w:tc>
          <w:tcPr>
            <w:tcW w:w="1708" w:type="dxa"/>
            <w:noWrap w:val="0"/>
            <w:vAlign w:val="center"/>
          </w:tcPr>
          <w:p>
            <w:pPr>
              <w:widowControl/>
              <w:jc w:val="center"/>
              <w:rPr>
                <w:rFonts w:hint="eastAsia" w:ascii="仿宋" w:hAnsi="仿宋" w:eastAsia="仿宋" w:cs="仿宋"/>
                <w:b w:val="0"/>
                <w:bCs w:val="0"/>
                <w:color w:val="auto"/>
                <w:kern w:val="0"/>
                <w:sz w:val="24"/>
                <w:szCs w:val="24"/>
                <w:highlight w:val="none"/>
              </w:rPr>
            </w:pPr>
          </w:p>
        </w:tc>
        <w:tc>
          <w:tcPr>
            <w:tcW w:w="2825" w:type="dxa"/>
            <w:noWrap w:val="0"/>
            <w:vAlign w:val="center"/>
          </w:tcPr>
          <w:p>
            <w:pPr>
              <w:widowControl/>
              <w:jc w:val="left"/>
              <w:rPr>
                <w:rFonts w:hint="eastAsia" w:ascii="仿宋" w:hAnsi="仿宋" w:eastAsia="仿宋" w:cs="仿宋"/>
                <w:b w:val="0"/>
                <w:bCs w:val="0"/>
                <w:color w:val="auto"/>
                <w:kern w:val="0"/>
                <w:sz w:val="24"/>
                <w:szCs w:val="24"/>
                <w:highlight w:val="none"/>
              </w:rPr>
            </w:pPr>
          </w:p>
        </w:tc>
        <w:tc>
          <w:tcPr>
            <w:tcW w:w="1653" w:type="dxa"/>
            <w:noWrap w:val="0"/>
            <w:vAlign w:val="center"/>
          </w:tcPr>
          <w:p>
            <w:pPr>
              <w:widowControl/>
              <w:jc w:val="center"/>
              <w:rPr>
                <w:rFonts w:hint="default" w:ascii="仿宋" w:hAnsi="仿宋" w:eastAsia="仿宋" w:cs="仿宋"/>
                <w:b w:val="0"/>
                <w:bCs w:val="0"/>
                <w:color w:val="auto"/>
                <w:kern w:val="0"/>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5" w:type="dxa"/>
            <w:noWrap w:val="0"/>
            <w:vAlign w:val="center"/>
          </w:tcPr>
          <w:p>
            <w:pPr>
              <w:widowControl/>
              <w:jc w:val="center"/>
              <w:rPr>
                <w:rFonts w:hint="eastAsia" w:ascii="仿宋" w:hAnsi="仿宋" w:eastAsia="仿宋" w:cs="仿宋"/>
                <w:b w:val="0"/>
                <w:bCs w:val="0"/>
                <w:color w:val="auto"/>
                <w:kern w:val="0"/>
                <w:sz w:val="24"/>
                <w:szCs w:val="24"/>
                <w:highlight w:val="none"/>
                <w:lang w:val="en-US" w:eastAsia="zh-CN"/>
              </w:rPr>
            </w:pPr>
          </w:p>
        </w:tc>
        <w:tc>
          <w:tcPr>
            <w:tcW w:w="1733" w:type="dxa"/>
            <w:noWrap w:val="0"/>
            <w:vAlign w:val="center"/>
          </w:tcPr>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b w:val="0"/>
                <w:bCs w:val="0"/>
                <w:color w:val="auto"/>
                <w:kern w:val="0"/>
                <w:sz w:val="24"/>
                <w:szCs w:val="24"/>
                <w:highlight w:val="none"/>
              </w:rPr>
            </w:pPr>
          </w:p>
        </w:tc>
        <w:tc>
          <w:tcPr>
            <w:tcW w:w="1084" w:type="dxa"/>
            <w:noWrap w:val="0"/>
            <w:vAlign w:val="center"/>
          </w:tcPr>
          <w:p>
            <w:pPr>
              <w:keepNext w:val="0"/>
              <w:keepLines w:val="0"/>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4"/>
                <w:szCs w:val="24"/>
                <w:highlight w:val="none"/>
              </w:rPr>
            </w:pPr>
          </w:p>
        </w:tc>
        <w:tc>
          <w:tcPr>
            <w:tcW w:w="1708" w:type="dxa"/>
            <w:noWrap w:val="0"/>
            <w:vAlign w:val="center"/>
          </w:tcPr>
          <w:p>
            <w:pPr>
              <w:widowControl/>
              <w:jc w:val="left"/>
              <w:rPr>
                <w:rFonts w:hint="eastAsia" w:ascii="仿宋" w:hAnsi="仿宋" w:eastAsia="仿宋" w:cs="仿宋"/>
                <w:b w:val="0"/>
                <w:bCs w:val="0"/>
                <w:color w:val="auto"/>
                <w:kern w:val="0"/>
                <w:sz w:val="24"/>
                <w:szCs w:val="24"/>
                <w:highlight w:val="none"/>
              </w:rPr>
            </w:pPr>
          </w:p>
        </w:tc>
        <w:tc>
          <w:tcPr>
            <w:tcW w:w="2825" w:type="dxa"/>
            <w:noWrap w:val="0"/>
            <w:vAlign w:val="center"/>
          </w:tcPr>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auto"/>
                <w:kern w:val="2"/>
                <w:sz w:val="24"/>
                <w:szCs w:val="24"/>
                <w:highlight w:val="none"/>
              </w:rPr>
            </w:pPr>
          </w:p>
        </w:tc>
        <w:tc>
          <w:tcPr>
            <w:tcW w:w="1653" w:type="dxa"/>
            <w:noWrap w:val="0"/>
            <w:vAlign w:val="center"/>
          </w:tcPr>
          <w:p>
            <w:pPr>
              <w:widowControl/>
              <w:jc w:val="center"/>
              <w:rPr>
                <w:rFonts w:hint="default" w:ascii="仿宋" w:hAnsi="仿宋" w:eastAsia="仿宋" w:cs="仿宋"/>
                <w:b w:val="0"/>
                <w:bCs w:val="0"/>
                <w:color w:val="auto"/>
                <w:kern w:val="0"/>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5" w:type="dxa"/>
            <w:noWrap w:val="0"/>
            <w:vAlign w:val="center"/>
          </w:tcPr>
          <w:p>
            <w:pPr>
              <w:widowControl/>
              <w:jc w:val="center"/>
              <w:rPr>
                <w:rFonts w:hint="eastAsia" w:ascii="仿宋" w:hAnsi="仿宋" w:eastAsia="仿宋" w:cs="仿宋"/>
                <w:b w:val="0"/>
                <w:bCs w:val="0"/>
                <w:color w:val="auto"/>
                <w:kern w:val="0"/>
                <w:sz w:val="24"/>
                <w:szCs w:val="24"/>
                <w:highlight w:val="none"/>
                <w:lang w:val="en-US" w:eastAsia="zh-CN"/>
              </w:rPr>
            </w:pPr>
          </w:p>
        </w:tc>
        <w:tc>
          <w:tcPr>
            <w:tcW w:w="1733" w:type="dxa"/>
            <w:noWrap w:val="0"/>
            <w:vAlign w:val="center"/>
          </w:tcPr>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b w:val="0"/>
                <w:bCs w:val="0"/>
                <w:color w:val="auto"/>
                <w:kern w:val="0"/>
                <w:sz w:val="24"/>
                <w:szCs w:val="24"/>
                <w:highlight w:val="none"/>
              </w:rPr>
            </w:pPr>
          </w:p>
        </w:tc>
        <w:tc>
          <w:tcPr>
            <w:tcW w:w="1084" w:type="dxa"/>
            <w:noWrap w:val="0"/>
            <w:vAlign w:val="center"/>
          </w:tcPr>
          <w:p>
            <w:pPr>
              <w:keepNext w:val="0"/>
              <w:keepLines w:val="0"/>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4"/>
                <w:szCs w:val="24"/>
                <w:highlight w:val="none"/>
              </w:rPr>
            </w:pPr>
          </w:p>
        </w:tc>
        <w:tc>
          <w:tcPr>
            <w:tcW w:w="1708" w:type="dxa"/>
            <w:noWrap w:val="0"/>
            <w:vAlign w:val="center"/>
          </w:tcPr>
          <w:p>
            <w:pPr>
              <w:widowControl/>
              <w:jc w:val="left"/>
              <w:rPr>
                <w:rFonts w:hint="eastAsia" w:ascii="仿宋" w:hAnsi="仿宋" w:eastAsia="仿宋" w:cs="仿宋"/>
                <w:b w:val="0"/>
                <w:bCs w:val="0"/>
                <w:color w:val="auto"/>
                <w:kern w:val="0"/>
                <w:sz w:val="24"/>
                <w:szCs w:val="24"/>
                <w:highlight w:val="none"/>
              </w:rPr>
            </w:pPr>
          </w:p>
        </w:tc>
        <w:tc>
          <w:tcPr>
            <w:tcW w:w="2825" w:type="dxa"/>
            <w:noWrap w:val="0"/>
            <w:vAlign w:val="center"/>
          </w:tcPr>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auto"/>
                <w:kern w:val="2"/>
                <w:sz w:val="24"/>
                <w:szCs w:val="24"/>
                <w:highlight w:val="none"/>
              </w:rPr>
            </w:pPr>
          </w:p>
        </w:tc>
        <w:tc>
          <w:tcPr>
            <w:tcW w:w="1653" w:type="dxa"/>
            <w:noWrap w:val="0"/>
            <w:vAlign w:val="center"/>
          </w:tcPr>
          <w:p>
            <w:pPr>
              <w:widowControl/>
              <w:jc w:val="center"/>
              <w:rPr>
                <w:rFonts w:hint="default" w:ascii="仿宋" w:hAnsi="仿宋" w:eastAsia="仿宋" w:cs="仿宋"/>
                <w:b w:val="0"/>
                <w:bCs w:val="0"/>
                <w:color w:val="auto"/>
                <w:kern w:val="0"/>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5" w:type="dxa"/>
            <w:noWrap w:val="0"/>
            <w:vAlign w:val="center"/>
          </w:tcPr>
          <w:p>
            <w:pPr>
              <w:widowControl/>
              <w:jc w:val="center"/>
              <w:rPr>
                <w:rFonts w:hint="eastAsia" w:ascii="仿宋" w:hAnsi="仿宋" w:eastAsia="仿宋" w:cs="仿宋"/>
                <w:b w:val="0"/>
                <w:bCs w:val="0"/>
                <w:color w:val="auto"/>
                <w:kern w:val="0"/>
                <w:sz w:val="24"/>
                <w:szCs w:val="24"/>
                <w:highlight w:val="none"/>
                <w:lang w:val="en-US" w:eastAsia="zh-CN"/>
              </w:rPr>
            </w:pPr>
          </w:p>
        </w:tc>
        <w:tc>
          <w:tcPr>
            <w:tcW w:w="1733" w:type="dxa"/>
            <w:noWrap w:val="0"/>
            <w:vAlign w:val="center"/>
          </w:tcPr>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b w:val="0"/>
                <w:bCs w:val="0"/>
                <w:color w:val="auto"/>
                <w:kern w:val="0"/>
                <w:sz w:val="24"/>
                <w:szCs w:val="24"/>
                <w:highlight w:val="none"/>
              </w:rPr>
            </w:pPr>
          </w:p>
        </w:tc>
        <w:tc>
          <w:tcPr>
            <w:tcW w:w="1084" w:type="dxa"/>
            <w:noWrap w:val="0"/>
            <w:vAlign w:val="center"/>
          </w:tcPr>
          <w:p>
            <w:pPr>
              <w:keepNext w:val="0"/>
              <w:keepLines w:val="0"/>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4"/>
                <w:szCs w:val="24"/>
                <w:highlight w:val="none"/>
              </w:rPr>
            </w:pPr>
          </w:p>
        </w:tc>
        <w:tc>
          <w:tcPr>
            <w:tcW w:w="1708" w:type="dxa"/>
            <w:noWrap w:val="0"/>
            <w:vAlign w:val="center"/>
          </w:tcPr>
          <w:p>
            <w:pPr>
              <w:widowControl/>
              <w:jc w:val="left"/>
              <w:rPr>
                <w:rFonts w:hint="eastAsia" w:ascii="仿宋" w:hAnsi="仿宋" w:eastAsia="仿宋" w:cs="仿宋"/>
                <w:b w:val="0"/>
                <w:bCs w:val="0"/>
                <w:color w:val="auto"/>
                <w:kern w:val="0"/>
                <w:sz w:val="24"/>
                <w:szCs w:val="24"/>
                <w:highlight w:val="none"/>
              </w:rPr>
            </w:pPr>
          </w:p>
        </w:tc>
        <w:tc>
          <w:tcPr>
            <w:tcW w:w="2825" w:type="dxa"/>
            <w:noWrap w:val="0"/>
            <w:vAlign w:val="center"/>
          </w:tcPr>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auto"/>
                <w:kern w:val="2"/>
                <w:sz w:val="24"/>
                <w:szCs w:val="24"/>
                <w:highlight w:val="none"/>
              </w:rPr>
            </w:pPr>
          </w:p>
        </w:tc>
        <w:tc>
          <w:tcPr>
            <w:tcW w:w="1653" w:type="dxa"/>
            <w:noWrap w:val="0"/>
            <w:vAlign w:val="center"/>
          </w:tcPr>
          <w:p>
            <w:pPr>
              <w:widowControl/>
              <w:jc w:val="center"/>
              <w:rPr>
                <w:rFonts w:hint="default" w:ascii="仿宋" w:hAnsi="仿宋" w:eastAsia="仿宋" w:cs="仿宋"/>
                <w:b w:val="0"/>
                <w:bCs w:val="0"/>
                <w:color w:val="auto"/>
                <w:kern w:val="0"/>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5" w:type="dxa"/>
            <w:noWrap w:val="0"/>
            <w:vAlign w:val="center"/>
          </w:tcPr>
          <w:p>
            <w:pPr>
              <w:widowControl/>
              <w:jc w:val="center"/>
              <w:rPr>
                <w:rFonts w:hint="eastAsia" w:ascii="仿宋" w:hAnsi="仿宋" w:eastAsia="仿宋" w:cs="仿宋"/>
                <w:b w:val="0"/>
                <w:bCs w:val="0"/>
                <w:color w:val="auto"/>
                <w:kern w:val="0"/>
                <w:sz w:val="24"/>
                <w:szCs w:val="24"/>
                <w:highlight w:val="none"/>
                <w:lang w:val="en-US" w:eastAsia="zh-CN"/>
              </w:rPr>
            </w:pPr>
          </w:p>
        </w:tc>
        <w:tc>
          <w:tcPr>
            <w:tcW w:w="1733" w:type="dxa"/>
            <w:noWrap w:val="0"/>
            <w:vAlign w:val="center"/>
          </w:tcPr>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b w:val="0"/>
                <w:bCs w:val="0"/>
                <w:color w:val="auto"/>
                <w:kern w:val="0"/>
                <w:sz w:val="24"/>
                <w:szCs w:val="24"/>
                <w:highlight w:val="none"/>
              </w:rPr>
            </w:pPr>
          </w:p>
        </w:tc>
        <w:tc>
          <w:tcPr>
            <w:tcW w:w="1084" w:type="dxa"/>
            <w:noWrap w:val="0"/>
            <w:vAlign w:val="center"/>
          </w:tcPr>
          <w:p>
            <w:pPr>
              <w:keepNext w:val="0"/>
              <w:keepLines w:val="0"/>
              <w:pageBreakBefore w:val="0"/>
              <w:widowControl/>
              <w:kinsoku/>
              <w:wordWrap/>
              <w:overflowPunct/>
              <w:topLinePunct w:val="0"/>
              <w:bidi w:val="0"/>
              <w:spacing w:line="240" w:lineRule="auto"/>
              <w:jc w:val="center"/>
              <w:textAlignment w:val="auto"/>
              <w:rPr>
                <w:rFonts w:hint="eastAsia" w:ascii="仿宋" w:hAnsi="仿宋" w:eastAsia="仿宋" w:cs="仿宋"/>
                <w:b w:val="0"/>
                <w:bCs w:val="0"/>
                <w:color w:val="auto"/>
                <w:kern w:val="0"/>
                <w:sz w:val="24"/>
                <w:szCs w:val="24"/>
                <w:highlight w:val="none"/>
              </w:rPr>
            </w:pPr>
          </w:p>
        </w:tc>
        <w:tc>
          <w:tcPr>
            <w:tcW w:w="1708" w:type="dxa"/>
            <w:noWrap w:val="0"/>
            <w:vAlign w:val="center"/>
          </w:tcPr>
          <w:p>
            <w:pPr>
              <w:widowControl/>
              <w:jc w:val="left"/>
              <w:rPr>
                <w:rFonts w:hint="eastAsia" w:ascii="仿宋" w:hAnsi="仿宋" w:eastAsia="仿宋" w:cs="仿宋"/>
                <w:b w:val="0"/>
                <w:bCs w:val="0"/>
                <w:color w:val="auto"/>
                <w:kern w:val="0"/>
                <w:sz w:val="24"/>
                <w:szCs w:val="24"/>
                <w:highlight w:val="none"/>
              </w:rPr>
            </w:pPr>
          </w:p>
        </w:tc>
        <w:tc>
          <w:tcPr>
            <w:tcW w:w="2825" w:type="dxa"/>
            <w:noWrap w:val="0"/>
            <w:vAlign w:val="center"/>
          </w:tcPr>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auto"/>
                <w:kern w:val="2"/>
                <w:sz w:val="24"/>
                <w:szCs w:val="24"/>
                <w:highlight w:val="none"/>
              </w:rPr>
            </w:pPr>
          </w:p>
        </w:tc>
        <w:tc>
          <w:tcPr>
            <w:tcW w:w="1653" w:type="dxa"/>
            <w:noWrap w:val="0"/>
            <w:vAlign w:val="center"/>
          </w:tcPr>
          <w:p>
            <w:pPr>
              <w:widowControl/>
              <w:jc w:val="center"/>
              <w:rPr>
                <w:rFonts w:hint="default" w:ascii="仿宋" w:hAnsi="仿宋" w:eastAsia="仿宋" w:cs="仿宋"/>
                <w:b w:val="0"/>
                <w:bCs w:val="0"/>
                <w:color w:val="auto"/>
                <w:kern w:val="0"/>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5" w:type="dxa"/>
            <w:noWrap w:val="0"/>
            <w:vAlign w:val="center"/>
          </w:tcPr>
          <w:p>
            <w:pPr>
              <w:widowControl/>
              <w:jc w:val="center"/>
              <w:rPr>
                <w:rFonts w:hint="eastAsia" w:ascii="仿宋" w:hAnsi="仿宋" w:eastAsia="仿宋" w:cs="仿宋"/>
                <w:color w:val="auto"/>
                <w:kern w:val="2"/>
                <w:sz w:val="24"/>
                <w:szCs w:val="24"/>
                <w:highlight w:val="none"/>
                <w:lang w:val="en-US" w:eastAsia="zh-CN"/>
              </w:rPr>
            </w:pPr>
          </w:p>
        </w:tc>
        <w:tc>
          <w:tcPr>
            <w:tcW w:w="1733" w:type="dxa"/>
            <w:noWrap w:val="0"/>
            <w:vAlign w:val="center"/>
          </w:tcPr>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auto"/>
                <w:kern w:val="2"/>
                <w:sz w:val="24"/>
                <w:szCs w:val="24"/>
                <w:highlight w:val="none"/>
              </w:rPr>
            </w:pPr>
          </w:p>
        </w:tc>
        <w:tc>
          <w:tcPr>
            <w:tcW w:w="1084" w:type="dxa"/>
            <w:noWrap w:val="0"/>
            <w:vAlign w:val="center"/>
          </w:tcPr>
          <w:p>
            <w:pPr>
              <w:keepNext w:val="0"/>
              <w:keepLines w:val="0"/>
              <w:pageBreakBefore w:val="0"/>
              <w:widowControl/>
              <w:kinsoku/>
              <w:wordWrap/>
              <w:overflowPunct/>
              <w:topLinePunct w:val="0"/>
              <w:bidi w:val="0"/>
              <w:spacing w:line="240" w:lineRule="auto"/>
              <w:jc w:val="center"/>
              <w:textAlignment w:val="auto"/>
              <w:rPr>
                <w:rFonts w:hint="eastAsia" w:ascii="仿宋" w:hAnsi="仿宋" w:eastAsia="仿宋" w:cs="仿宋"/>
                <w:color w:val="auto"/>
                <w:kern w:val="2"/>
                <w:sz w:val="24"/>
                <w:szCs w:val="24"/>
                <w:highlight w:val="none"/>
              </w:rPr>
            </w:pPr>
          </w:p>
        </w:tc>
        <w:tc>
          <w:tcPr>
            <w:tcW w:w="1708" w:type="dxa"/>
            <w:noWrap w:val="0"/>
            <w:vAlign w:val="center"/>
          </w:tcPr>
          <w:p>
            <w:pPr>
              <w:widowControl/>
              <w:jc w:val="left"/>
              <w:rPr>
                <w:rFonts w:hint="eastAsia" w:ascii="仿宋" w:hAnsi="仿宋" w:eastAsia="仿宋" w:cs="仿宋"/>
                <w:color w:val="auto"/>
                <w:kern w:val="2"/>
                <w:sz w:val="24"/>
                <w:szCs w:val="24"/>
                <w:highlight w:val="none"/>
              </w:rPr>
            </w:pPr>
          </w:p>
        </w:tc>
        <w:tc>
          <w:tcPr>
            <w:tcW w:w="2825" w:type="dxa"/>
            <w:noWrap w:val="0"/>
            <w:vAlign w:val="center"/>
          </w:tcPr>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auto"/>
                <w:kern w:val="2"/>
                <w:sz w:val="24"/>
                <w:szCs w:val="24"/>
                <w:highlight w:val="none"/>
              </w:rPr>
            </w:pPr>
          </w:p>
        </w:tc>
        <w:tc>
          <w:tcPr>
            <w:tcW w:w="1653" w:type="dxa"/>
            <w:noWrap w:val="0"/>
            <w:vAlign w:val="center"/>
          </w:tcPr>
          <w:p>
            <w:pPr>
              <w:widowControl/>
              <w:jc w:val="center"/>
              <w:rPr>
                <w:rFonts w:hint="default" w:ascii="仿宋" w:hAnsi="仿宋" w:eastAsia="仿宋" w:cs="仿宋"/>
                <w:color w:val="auto"/>
                <w:kern w:val="2"/>
                <w:sz w:val="24"/>
                <w:szCs w:val="24"/>
                <w:highlight w:val="yellow"/>
              </w:rPr>
            </w:pPr>
          </w:p>
        </w:tc>
      </w:tr>
    </w:tbl>
    <w:p>
      <w:pPr>
        <w:spacing w:line="360" w:lineRule="auto"/>
        <w:jc w:val="center"/>
        <w:rPr>
          <w:rFonts w:hint="eastAsia" w:ascii="仿宋" w:hAnsi="仿宋" w:eastAsia="仿宋" w:cs="仿宋"/>
          <w:color w:val="auto"/>
          <w:sz w:val="32"/>
          <w:szCs w:val="32"/>
          <w:highlight w:val="none"/>
        </w:rPr>
      </w:pPr>
    </w:p>
    <w:p>
      <w:pPr>
        <w:widowControl/>
        <w:spacing w:line="240" w:lineRule="auto"/>
        <w:rPr>
          <w:rFonts w:hint="eastAsia" w:ascii="宋体" w:hAnsi="宋体" w:eastAsia="宋体" w:cs="宋体"/>
          <w:color w:val="auto"/>
          <w:sz w:val="21"/>
          <w:szCs w:val="21"/>
          <w:highlight w:val="none"/>
        </w:rPr>
      </w:pPr>
    </w:p>
    <w:p>
      <w:pPr>
        <w:rPr>
          <w:rFonts w:hint="eastAsia" w:eastAsia="仿宋"/>
          <w:lang w:val="en-US" w:eastAsia="zh-CN"/>
        </w:rPr>
      </w:pPr>
      <w:r>
        <w:rPr>
          <w:rFonts w:hint="eastAsia" w:ascii="仿宋" w:hAnsi="仿宋" w:eastAsia="仿宋" w:cs="仿宋"/>
          <w:color w:val="auto"/>
          <w:sz w:val="32"/>
          <w:szCs w:val="32"/>
          <w:highlight w:val="none"/>
          <w:lang w:val="en-US" w:eastAsia="zh-CN"/>
        </w:rPr>
        <w:t xml:space="preserve"> </w:t>
      </w:r>
    </w:p>
    <w:p>
      <w:pPr>
        <w:spacing w:line="360" w:lineRule="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附件</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w:t>
      </w:r>
    </w:p>
    <w:p>
      <w:pPr>
        <w:spacing w:line="360" w:lineRule="auto"/>
        <w:ind w:firstLine="2560" w:firstLineChars="8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南岸区景观照明设施维护服务标准</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  总则</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1.1.1  为规范南岸区景观照明设施运维管理工作，明确维护企业和</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的权责范围，统一景观照明设施运维管理标准，实现对维护企业、人员、材料、机械的精细化管理，制定本标准。</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1.1.2  本标准适用于南岸区各级景观照明管理部门</w:t>
      </w:r>
      <w:r>
        <w:rPr>
          <w:rFonts w:hint="eastAsia" w:ascii="仿宋" w:hAnsi="仿宋" w:eastAsia="仿宋" w:cs="仿宋"/>
          <w:color w:val="auto"/>
          <w:sz w:val="21"/>
          <w:szCs w:val="21"/>
          <w:highlight w:val="none"/>
          <w:lang w:val="en-US" w:eastAsia="zh-CN"/>
        </w:rPr>
        <w:t>或委托管理单位</w:t>
      </w:r>
      <w:r>
        <w:rPr>
          <w:rFonts w:hint="eastAsia" w:ascii="仿宋" w:hAnsi="仿宋" w:eastAsia="仿宋" w:cs="仿宋"/>
          <w:color w:val="auto"/>
          <w:sz w:val="21"/>
          <w:szCs w:val="21"/>
          <w:highlight w:val="none"/>
        </w:rPr>
        <w:t>以及各从事景观照明设施维护工作的企业，用于指导市场化条件下的景观照明设施维护工作。</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  术语</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2.1.1  亮灯率 </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在规定的亮灯时间内，实际亮灯数与应亮灯数之比的百分数。</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2.1.2  巡修 </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逐个检查照明设施运行情况，排除单灯故障或系统性故障。</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照明设施包括道路照明灯具、低压电缆、照明配电箱、检查井及其它附属设施。</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2.1.3  设施完好率 </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在设定的统计范围内，完好照明设施与照明设施总数之比。</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2.1.4  及时修复率 </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及时修复数与报修总数之比。</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2.1.5  数字化城管 </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以信息化手段和移动通信技术手段来处理、分析和管理整个城市的所有部件和事件信息，促进城市人流、物流、资金流、信息流、交通流的通畅与协调。</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2.1.6  故障响应时间 </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维护企业接获故障报修至现场维修工作展开的时间。</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2.1.7  应急抢修响应时间 </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维护企业接获应急故障报修至现场维修工作展开的时间。</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2.1.8  故障修复时间 </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维护企业接获故障报修至故障修复完成的时间。</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  维护企业及维护人员</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  维护企业</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3.1.1  照明设施维护企业必须具有城市及道路照明工程专业承包三级（或以上）资质。</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3.1.2  照明设施维护企业在南岸区内应有固定仓库，且仓库应满足存放工具及维护材料要求。</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3.1.3  维护企业应按照维护区域设置固定办公的维护项目部，制定工作标准、管理制度。</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建立24小时值班制度，维护人员应保持通信畅通，接到故障报修后在规定时间内到场处理并在约定时限内修复；</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实行班组制度，每班人员不得少于3人，且明确值班人员岗位职责，建立考勤制度，对项目部人员进行考勤并保存考勤记录。</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  维护人员</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3.2.1  维护人员的相关证书和社会保险应报</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备案，在项目实施期间，如确需更换人员应报</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重新备案。</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3.2.2  项目部人员配置必须包含以下人员：</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项目经理、技术人员、安全员、资料员及其他人员；</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项目经理必须具备工程类中级或以上职称、二级及以上建造师执业资格；</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3  项目部必须配置一定数量的高空作业人员；</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4  根据项目情况配置的特种作业人员必须取得特种作业资格证书，且证书必须在有效期内。</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3.2.3  维护人员在维护期限内的社会保险及人身意外保险应由维护企业负责购买，如发生任何意外，维护企业负责事故处理及相关费用。</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  维护材料及车辆管理</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4.1  维护材料的存放与管理</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4.1.1  维护企业应将维护主材料的采购合同报</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备案，并严格遵守品牌承诺。对于批量采购电缆、灯具、光源等</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有必要时</w:t>
      </w:r>
      <w:r>
        <w:rPr>
          <w:rFonts w:hint="eastAsia" w:ascii="仿宋" w:hAnsi="仿宋" w:eastAsia="仿宋" w:cs="仿宋"/>
          <w:color w:val="auto"/>
          <w:sz w:val="21"/>
          <w:szCs w:val="21"/>
          <w:highlight w:val="none"/>
        </w:rPr>
        <w:t>需经</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现场随机抽取送有资质第三方检测机构检测。</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4.1.2  维护企业应根据项目的规模及种类配备相应的材料及配件，保证一定数量的库存，以满足应急抢修需求。</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4.1.3  维护企业应对维护材料进行规范管理，建立设备材料出（入）库台帐。每日材料的出（入）库必须填写出（入）库清单，并交由城市照明管理部门</w:t>
      </w:r>
      <w:r>
        <w:rPr>
          <w:rFonts w:hint="eastAsia" w:ascii="仿宋" w:hAnsi="仿宋" w:eastAsia="仿宋" w:cs="仿宋"/>
          <w:color w:val="auto"/>
          <w:sz w:val="21"/>
          <w:szCs w:val="21"/>
          <w:highlight w:val="none"/>
          <w:lang w:val="en-US" w:eastAsia="zh-CN"/>
        </w:rPr>
        <w:t>或委托管理单位</w:t>
      </w:r>
      <w:r>
        <w:rPr>
          <w:rFonts w:hint="eastAsia" w:ascii="仿宋" w:hAnsi="仿宋" w:eastAsia="仿宋" w:cs="仿宋"/>
          <w:color w:val="auto"/>
          <w:sz w:val="21"/>
          <w:szCs w:val="21"/>
          <w:highlight w:val="none"/>
        </w:rPr>
        <w:t>检查，出（入）库清单应包含所有材料的情况，入库材料应提供相关合格证明或检测试验报告。</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4.1.4  </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应每月对维护材料的库存及主要设备材料的外观、颜色、尺寸等进行不定期抽查。</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4.1.5  </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在抽检过程中发现有质量问题的材料，维护企业应送有资质第三方检测单位进行检测，检测费用由维护企业承担。</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4.1.6  维护企业在维修过程中更换的旧设备、旧材料应由维护企业交由</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处理。</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4.1.7  维护企业在维护过程中更换的材料设施应做到及时清理，严禁在天台、楼顶等无遮挡的位置放置材料设施。</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4.2  维护企业车辆要求</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4.2.1  维护企业应根据工作需要配置维护车辆。</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4.2.2  </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认为维护企业的维护车辆不能满足工作需求时，维护企业应随时增加车辆。</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4.2.3  维护企业负责配置车辆的使用、保养、维修等产生的各类费用。</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  景观照明运行维护及管理</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  一般规定</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5.1.1  景观照明设施维护服务原则是安全、高效、节能、环保。</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5.1.2  逢节假日和重大活动如国庆、元旦、春节等，应安排检修小组加强巡查，小组成员名单及联系方式应报</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备案，活动结束后将期间维修量、出勤人次等报</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审查备案。</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5.1.3  如有突击性任务及迎检活动，维护企业应安排人员、车辆，配合城市照明管理部门</w:t>
      </w:r>
      <w:r>
        <w:rPr>
          <w:rFonts w:hint="eastAsia" w:ascii="仿宋" w:hAnsi="仿宋" w:eastAsia="仿宋" w:cs="仿宋"/>
          <w:color w:val="auto"/>
          <w:sz w:val="21"/>
          <w:szCs w:val="21"/>
          <w:highlight w:val="none"/>
          <w:lang w:val="en-US" w:eastAsia="zh-CN"/>
        </w:rPr>
        <w:t>或委托管理单位</w:t>
      </w:r>
      <w:r>
        <w:rPr>
          <w:rFonts w:hint="eastAsia" w:ascii="仿宋" w:hAnsi="仿宋" w:eastAsia="仿宋" w:cs="仿宋"/>
          <w:color w:val="auto"/>
          <w:sz w:val="21"/>
          <w:szCs w:val="21"/>
          <w:highlight w:val="none"/>
        </w:rPr>
        <w:t>统一部署。</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5.1.4  必须按规定如期处理数字化城管案件、市长热线及其他投诉案件，并对处理现场拍照记录存档。</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5.1.5  景观照明亮灯率及设施完好率应符合以下规定：</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亮灯率不得低于98%；</w:t>
      </w:r>
    </w:p>
    <w:p>
      <w:pPr>
        <w:snapToGrid w:val="0"/>
        <w:spacing w:line="300" w:lineRule="exact"/>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  设施完好率不得低于95%。</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  景观照明</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5.2.1  景观照明主要维护内容包含日常巡修、故障修复、应急抢修以及防盗等工作。</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5.2.2  景观照明维护范围包括</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管理范围内的景观照明、楼宇亮化、桥梁亮化等，详见管护内容清单。</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5.2.3  景观照明日常巡修应符合以下规定：</w:t>
      </w:r>
    </w:p>
    <w:p>
      <w:pPr>
        <w:snapToGrid w:val="0"/>
        <w:spacing w:line="300" w:lineRule="exact"/>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  维护企业应采用巡修的方式，检查并排除灯具故障和系统性故障；</w:t>
      </w:r>
    </w:p>
    <w:p>
      <w:pPr>
        <w:snapToGrid w:val="0"/>
        <w:spacing w:line="300" w:lineRule="exact"/>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  维护企业应定期清洗灯饰，保证灯饰干净、清洁；</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3  维护企业应在法定节假日巡查照明设施，对维护范围内的亮灯情况及时记录，巡查记录每月上报一次；</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4  维护企业在巡查中如发现开关控制原因未亮灯，必须积极与相关单位联系，尽早处理；同一楼宇、桥梁连续两次因开关控制问题未亮灯的，以不亮灯处理；</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5  台风、暴雨等恶劣天气后需进行安全检查，及时排除安全隐患，并做好相应记录；</w:t>
      </w:r>
    </w:p>
    <w:p>
      <w:pPr>
        <w:snapToGrid w:val="0"/>
        <w:spacing w:line="300" w:lineRule="exact"/>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  维护企业应排查附着在照明设施上的外挂物，消除安全隐患；</w:t>
      </w:r>
    </w:p>
    <w:p>
      <w:pPr>
        <w:snapToGrid w:val="0"/>
        <w:spacing w:line="300" w:lineRule="exact"/>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  维护企业应按照规定的时间启闭景观灯饰，遇重大活动根据城市照明管理部门</w:t>
      </w:r>
      <w:r>
        <w:rPr>
          <w:rFonts w:hint="eastAsia" w:ascii="仿宋" w:hAnsi="仿宋" w:eastAsia="仿宋" w:cs="仿宋"/>
          <w:color w:val="auto"/>
          <w:sz w:val="21"/>
          <w:szCs w:val="21"/>
          <w:highlight w:val="none"/>
          <w:lang w:val="en-US" w:eastAsia="zh-CN"/>
        </w:rPr>
        <w:t>或委托管理单位</w:t>
      </w:r>
      <w:r>
        <w:rPr>
          <w:rFonts w:hint="eastAsia" w:ascii="仿宋" w:hAnsi="仿宋" w:eastAsia="仿宋" w:cs="仿宋"/>
          <w:color w:val="auto"/>
          <w:sz w:val="21"/>
          <w:szCs w:val="21"/>
          <w:highlight w:val="none"/>
        </w:rPr>
        <w:t>的通知适时调整，并及时通知相关物管公司。</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5.2.4  故障报修的响应时间应不超过12小时，故障修复时间应符合以下规定：</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公共景观灯具单灯故障不超过48小时；</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单栋建（构）筑物楼宇亮化灯具灭灯20%以内的故障不超过5个工作日，单栋建（构）筑物楼宇亮化灯具灭灯率达20%以上的故障不超过2个工作日。</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5.2.5  出现以下情况，维护企业应进行应急抢修，应急抢修响应时间不超过1小时，应急抢修修复时间不超过24小时：</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可触及的物体带电；</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楼宇亮化灯具及其外立面支架出现松动、脱落的现象。</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5.2.6  维护期间，若</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在维护范围内接管新的楼宇亮化设施，维护企业应无条件将新接管楼宇亮化设施纳入维护范围，由维护企业负责巡查及通知物业按时开关灯，确保楼宇亮化系统正常运行。</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5.2.7  如景观照明设施因老化影响整体亮化效果或视觉连续性，维护企业应上报</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进行专项维修。</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5.2.8  维护企业应做好维护范围内的灯饰设施、设备、线路、灯具等的所有安全工作和防盗工作，承担一切安全事故责任和费用。对发生的偷盗和损坏，确保24小时内修复，所需费用自行承担。若发现盗取灯饰工程用电，须及时采取安全技术措施，并按照有关规定处理，同时报告</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5.2.9  涉及到楼宇、建（构）筑物等需与物管公司、业主协调的工作，均由维护企业负责，</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协助。进场押金、装修押金、安全保证金等由维护企业垫付并按规定取回。</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5.3  技术档案管理</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5.3.1  维护企业应根据维护内容及范围建立完整的设施档案，并协助</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将档案录入信息化系统中，建立完整的资料库。</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5.3.2  维护企业应每季度对维护范围内的设施进行统计更新备案，并及时录入信息化系统资料库。</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5.3.3  维护企业必须协助</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对新移交和改扩建项目进行检查并在10个工作日内将详细资料录入信息化系统中，建立资料库。</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5.3.4  维护企业应对巡修情况、故障处理、应急抢修等工作情况进行记录，且对故障排除前后状况进行拍照记录，并拟定下月工作计划，在规定时间内提交给城市照明管理部门</w:t>
      </w:r>
      <w:r>
        <w:rPr>
          <w:rFonts w:hint="eastAsia" w:ascii="仿宋" w:hAnsi="仿宋" w:eastAsia="仿宋" w:cs="仿宋"/>
          <w:color w:val="auto"/>
          <w:sz w:val="21"/>
          <w:szCs w:val="21"/>
          <w:highlight w:val="none"/>
          <w:lang w:val="en-US" w:eastAsia="zh-CN"/>
        </w:rPr>
        <w:t>或委托管理单位</w:t>
      </w:r>
      <w:r>
        <w:rPr>
          <w:rFonts w:hint="eastAsia" w:ascii="仿宋" w:hAnsi="仿宋" w:eastAsia="仿宋" w:cs="仿宋"/>
          <w:color w:val="auto"/>
          <w:sz w:val="21"/>
          <w:szCs w:val="21"/>
          <w:highlight w:val="none"/>
        </w:rPr>
        <w:t>考核及存档。</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5.3.5  维护企业必须对更换设施作详细记录，并保存原设施以供</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日后检查。</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5.4  安全作业和设施管理</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5.4.1  维护人员现场工作时应统一着装（安全帽、工作服、反光衣），佩戴工作证（照片并标识工种），并随时接受检查。</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5.4.2  夜间作业应符合以下规定：</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作业场所必须设警示灯、警示牌，并有专人负责安全监护；</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夜间作业必须符合城市交通管理部门及</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的相关规定。</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5.4.3  高空作业时，地面必须有围栏和专职安全监护人员。</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5.4.4  因电缆修复作业造成电缆或其他设施损坏时，维护企业应及时上报</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，并自行承担修复费用。</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5.4.5  所有电气设备必须断电维修；灯具维修前应取下该灯具的熔断体或使该灯具的隔离电器处于分断状态，显示明显分段点。</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5.4.6  维护企业对外接用电的维护和管理应符合以下规定：</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维护企业不得擅自接入外接用电，在抽查中，一旦发现有未经同意的外接用电，应按规定对维护企业予以处理，情况严重者，城市照明管理部门</w:t>
      </w:r>
      <w:r>
        <w:rPr>
          <w:rFonts w:hint="eastAsia" w:ascii="仿宋" w:hAnsi="仿宋" w:eastAsia="仿宋" w:cs="仿宋"/>
          <w:color w:val="auto"/>
          <w:sz w:val="21"/>
          <w:szCs w:val="21"/>
          <w:highlight w:val="none"/>
          <w:lang w:val="en-US" w:eastAsia="zh-CN"/>
        </w:rPr>
        <w:t>或委托管理单位</w:t>
      </w:r>
      <w:r>
        <w:rPr>
          <w:rFonts w:hint="eastAsia" w:ascii="仿宋" w:hAnsi="仿宋" w:eastAsia="仿宋" w:cs="仿宋"/>
          <w:color w:val="auto"/>
          <w:sz w:val="21"/>
          <w:szCs w:val="21"/>
          <w:highlight w:val="none"/>
        </w:rPr>
        <w:t>有权单方面终止合同；</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经</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同意后方可接驳城市照明系统以外设施，应对外接用电进行核实和记录，并上报</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备案；</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3  对</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同意接驳的线路，维护企业应协助完成接驳工作。</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5.4.7  照明设施损坏后，维护企业应按以下规定进行修复：</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因人为（交通肇事、施工）损坏照明设施，维护企业应按照</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要求先行修复，修复完成后编制恢复工程预算书，交</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审核，通过后向肇事方追讨恢复所需费用，</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应予以协助，若追讨不成功，由维护企业自行承担修复费用。</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因不可抗力的自然灾害（地震、台风、特大洪水）和社会性突发事件（骚乱、戒严、暴动等）损坏照明设施，维护企业应立即通知</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，并应先按照</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要求及时修复，在修复完成后编制恢复工程结算书，向</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申报结算审核，费用另计。</w:t>
      </w:r>
    </w:p>
    <w:p>
      <w:pPr>
        <w:snapToGrid w:val="0"/>
        <w:spacing w:line="300" w:lineRule="exact"/>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  照明设施损坏时，维护企业在修复前后应拍照存档、作详细记录，并及时上报</w:t>
      </w:r>
      <w:r>
        <w:rPr>
          <w:rFonts w:hint="eastAsia" w:ascii="仿宋" w:hAnsi="仿宋" w:eastAsia="仿宋" w:cs="仿宋"/>
          <w:color w:val="auto"/>
          <w:sz w:val="21"/>
          <w:szCs w:val="21"/>
          <w:highlight w:val="none"/>
          <w:lang w:eastAsia="zh-CN"/>
        </w:rPr>
        <w:t>城市照明管理部门或委托管理单位</w:t>
      </w:r>
      <w:r>
        <w:rPr>
          <w:rFonts w:hint="eastAsia" w:ascii="仿宋" w:hAnsi="仿宋" w:eastAsia="仿宋" w:cs="仿宋"/>
          <w:color w:val="auto"/>
          <w:sz w:val="21"/>
          <w:szCs w:val="21"/>
          <w:highlight w:val="none"/>
        </w:rPr>
        <w:t>。</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  主要照明设施维护标准</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6.1  广场景观灯具、楼宇亮化灯具</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6.1.1  广场景观灯具主要包含庭院灯、草坪灯、点状灯、线形灯、投（泛）光灯等。楼宇亮化灯具主要包含点状灯、线形灯、投（泛）光灯等。</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6.1.2  庭院灯的维护应符合以下规定：</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灯罩无锈蚀、变形、脱落，表面清洁、通透，无裂纹、破损、变色的现象；</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灯具出光口应清洁无污染；</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3  灯具保持整洁、安装稳固、部件完整、连接可靠、运行安全；</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4  灯具密封良好，内部无水汽、尘埃或其它杂物；</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5  灯具锁扣或螺钉紧固良好；</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6  绝缘部件无破损，表面清洁，标识清晰，防护涂层良好；</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7  灯具支架螺栓紧固可靠；</w:t>
      </w:r>
    </w:p>
    <w:p>
      <w:pPr>
        <w:snapToGrid w:val="0"/>
        <w:spacing w:line="300" w:lineRule="exact"/>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  灯具的缺零保护装置功能完整可靠；</w:t>
      </w:r>
    </w:p>
    <w:p>
      <w:pPr>
        <w:snapToGrid w:val="0"/>
        <w:spacing w:line="300" w:lineRule="exact"/>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  灯具维护后应与原设计位置保持一致，最大斜角度不能超过10 度。</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10  灯杆外观整洁，标识清晰，防护层良好，油漆无脱落，无明显破损；</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11  灯杆无倾斜、弯曲、断裂、锈蚀等现象；</w:t>
      </w:r>
    </w:p>
    <w:p>
      <w:pPr>
        <w:snapToGrid w:val="0"/>
        <w:spacing w:line="300" w:lineRule="exact"/>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  灯杆无鸟巢或其它杂物缠绕；</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13  灯杆检修门应完整，固定良好，无锈蚀、变形等现象；</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14  灯杆内各类电气配套装置应完整，连接可靠，绝缘良好，无异常发热、锈蚀、磨损、变形等现象；</w:t>
      </w:r>
    </w:p>
    <w:p>
      <w:pPr>
        <w:snapToGrid w:val="0"/>
        <w:spacing w:line="300" w:lineRule="exact"/>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  当灯具需更换熔断体或微型断路保护器时，其规格应与设计要求一致；</w:t>
      </w:r>
    </w:p>
    <w:p>
      <w:pPr>
        <w:snapToGrid w:val="0"/>
        <w:spacing w:line="300" w:lineRule="exact"/>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  接地良好、无漏电现象。</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6.1.3  草坪灯的维护应符合以下规定：</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外形完整、无破损；</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外观清洁、无污染；</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3  接地良好、无漏电现象。</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6.1.4  点状灯、线形灯的维护应符合以下规定：</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灯罩完整，无破裂；</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灯具安装位置正常，固定牢靠，无松动、脱落、损坏等现象；</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3  灯具泄水孔无堵塞、倒流等现象。</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6.1.5  投（泛）光灯的维护应符合以下规定：</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支架、管线、接线盒安装牢固，无老化、锈蚀、变形、松动、脱落等现象；</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支架不得使用木楔、塑料塞，宜使用适配的螺栓，并做防腐处理；</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3  禁止在接线盒外接线；</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4  灯具照射角度应保持在原设计角度内；</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5  灯具透光性良好；</w:t>
      </w:r>
    </w:p>
    <w:p>
      <w:pPr>
        <w:snapToGrid w:val="0"/>
        <w:spacing w:line="300" w:lineRule="exact"/>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  灯具正常工作，无异常发热现象。</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6.2  桥梁景观灯具</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6.2.1  桥梁景观灯具主要包括护栏灯、点状灯、线形灯、投（泛）光灯等，点状灯、线形灯的维护满足6.1.4条的规定，投（泛）光灯的维护满足6.1.5条的规定。</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6.2.2  护栏灯的维护应符合以下规定：</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灯具支架、保护管固定可靠，无松动、脱落、锈蚀等现象；</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灯具抗风功能良好，灯具完整，无破损、倾斜、脱落等现象；</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3  桥梁因车流量大车速快，易发生震动，应保证灯具防震装置、防坠落装置完整无损，正常工作；</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4  灯具照射角度保持在原设计角度内；</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5  灯具密封性能良好，可耐受雨水侵蚀。</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6.3  开关电源</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6.3.1  开关电源为低压景观灯具专用变压器，其维护应符合以下规定：</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开关电源设于露天安装时，应保证防水性、密封性良好；</w:t>
      </w:r>
    </w:p>
    <w:p>
      <w:pPr>
        <w:snapToGrid w:val="0"/>
        <w:spacing w:line="300" w:lineRule="exact"/>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  更换开关电源时，其规格参数与原设计一致，并保证所供灯具灯管长度不大于允许负载长度。</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6.4  照明配电箱</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6.4.1  照明配电箱的维护应包括箱体、电气元件、照明控制器的维护，应每季度进行1次全面清洁、检查、紧固。</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6.4.2  箱体、电气元件的维护应符合以下规定：</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外形平整、清洁，漆面无脱落，无破损、变形等现象；</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箱内整洁、无杂物，箱体内外涂层无破损、剥落等现象；</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3  箱门平整，防水胶条完整、密封良好，空洞封堵良好；</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4  箱门有明显的安全警示标识和“高压危险”字样；</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5  箱门右上角有明显的“报修电话：××××××”字样；</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6  进出线缆排列整齐，固定良好，各配电分支回路应有完整、清晰的标识，门内侧应有完整、清晰电气系统图；</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7  箱体基础紧固件完整，无松动、锈蚀等现象；</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8  箱体外锁扣必须使用专用工具才能打开，无生锈、损坏等现象；</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9  箱体接地电阻不大于4Ω；</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10  电气开关、互感器和仪表应功能正常，性能良好，需要更换电气元件时，其规格、型号应符合原设计要求。</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6.4.3  照明控制器的维护应符合以下规定：</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  控制器铭牌完整、清晰；</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2  电路板或模块工作正常，固定良好，标识完整、清晰；</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3  输入输出信号正常，指示灯显示正常，中间继电器工作正常；</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4  互感器接线正常，接地可靠。</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6.4.4  照明配电箱设光控元件时，其受光面不得有遮挡、污垢等现象。</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6.5  低压电缆及保护管</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6.5.1  电缆应无机械损伤，绝缘层不得有龟裂、破损现象，且避免终端头、接线盒破损引起的故障。</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6.5.2  当电缆损坏需要更换时，更换的规格、型号需与原材料一致，宜整档更换，不得在管道内设置接头，如直埋确实不能整档更换必须采用热缩或冷缩接头，且具有防爆性。</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6.5.3  电缆保护管不应有孔洞、裂缝和明显的凹凸不平。</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6.5.4  金属电缆保护管连接应牢固，密封良好。</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6.5.5  当发现土壤中有腐蚀电缆的溶液时，应采取适当改善措施和防护方法。</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6.5.6  电缆接入时，应核对其相位，保证电缆接入后的安全性能。</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6.5.7  处理完电缆故障后，应进行绝缘测试。</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6.6  设备基础</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6.6.1  设备基础的钢筋混凝土构件应完整，无沉降、倾斜、开裂现象，设备基础周边不得有影响基础稳定性的开挖和其他施工工程。</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6.6.2  修补设备基础时，不得对基础内部电气元件造成损坏。</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6.6.3  地脚螺栓应完整，无松动、锈蚀、变形等现象，预紧力适当，外露螺纹不少于2圈。</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6.6.4  法兰盘和螺栓的混凝土包封应无开裂、缺损现象。</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6.6.5  设备基础的接地应符合设计要求，接地热镀锌钢管与地脚螺栓焊接可靠，无腐蚀、脱落现象。</w:t>
      </w:r>
    </w:p>
    <w:p>
      <w:pPr>
        <w:rPr>
          <w:rFonts w:hint="eastAsia" w:ascii="仿宋" w:hAnsi="仿宋" w:eastAsia="仿宋" w:cs="仿宋"/>
          <w:color w:val="auto"/>
          <w:sz w:val="28"/>
          <w:szCs w:val="20"/>
          <w:highlight w:val="none"/>
        </w:rPr>
      </w:pPr>
    </w:p>
    <w:p>
      <w:pPr>
        <w:spacing w:line="360" w:lineRule="auto"/>
        <w:ind w:right="-512" w:rightChars="-244"/>
        <w:rPr>
          <w:rFonts w:hint="eastAsia" w:ascii="仿宋" w:hAnsi="仿宋" w:eastAsia="仿宋" w:cs="仿宋"/>
          <w:color w:val="auto"/>
          <w:sz w:val="28"/>
          <w:szCs w:val="28"/>
          <w:highlight w:val="none"/>
        </w:rPr>
      </w:pPr>
    </w:p>
    <w:p>
      <w:pPr>
        <w:spacing w:line="360" w:lineRule="auto"/>
        <w:ind w:right="-512" w:rightChars="-244"/>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br w:type="page"/>
      </w:r>
      <w:r>
        <w:rPr>
          <w:rFonts w:hint="eastAsia" w:ascii="仿宋" w:hAnsi="仿宋" w:eastAsia="仿宋" w:cs="仿宋"/>
          <w:color w:val="auto"/>
          <w:sz w:val="32"/>
          <w:szCs w:val="32"/>
          <w:highlight w:val="none"/>
        </w:rPr>
        <w:t>附件</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w:t>
      </w:r>
    </w:p>
    <w:p>
      <w:pPr>
        <w:spacing w:line="360" w:lineRule="auto"/>
        <w:ind w:right="-512" w:rightChars="-244" w:firstLine="1920" w:firstLineChars="600"/>
        <w:rPr>
          <w:rFonts w:hint="eastAsia" w:ascii="仿宋" w:hAnsi="仿宋" w:eastAsia="仿宋" w:cs="仿宋"/>
          <w:color w:val="auto"/>
          <w:sz w:val="28"/>
          <w:szCs w:val="28"/>
          <w:highlight w:val="none"/>
        </w:rPr>
      </w:pPr>
      <w:r>
        <w:rPr>
          <w:rFonts w:hint="eastAsia" w:ascii="仿宋" w:hAnsi="仿宋" w:eastAsia="仿宋" w:cs="仿宋"/>
          <w:color w:val="auto"/>
          <w:sz w:val="32"/>
          <w:szCs w:val="32"/>
          <w:highlight w:val="none"/>
        </w:rPr>
        <w:t>南岸区景观照明设施维护考核办法</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  总则</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1.1.1  考核规定以《南岸区景观照明设施维护服务标准》为依据。</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1.1.2  考核标准、要求以及考核结果涉及维护费用的结算，均需在景观照明设施维护服务项目的政府采购文件</w:t>
      </w:r>
      <w:r>
        <w:rPr>
          <w:rFonts w:hint="eastAsia" w:ascii="仿宋" w:hAnsi="仿宋" w:eastAsia="仿宋" w:cs="仿宋"/>
          <w:color w:val="auto"/>
          <w:sz w:val="21"/>
          <w:szCs w:val="21"/>
          <w:highlight w:val="none"/>
          <w:lang w:val="en-US" w:eastAsia="zh-CN"/>
        </w:rPr>
        <w:t>或委托维护单位比选</w:t>
      </w:r>
      <w:r>
        <w:rPr>
          <w:rFonts w:hint="eastAsia" w:ascii="仿宋" w:hAnsi="仿宋" w:eastAsia="仿宋" w:cs="仿宋"/>
          <w:color w:val="auto"/>
          <w:sz w:val="21"/>
          <w:szCs w:val="21"/>
          <w:highlight w:val="none"/>
        </w:rPr>
        <w:t>及合同中予以明确，通过履行合同予以执行。</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  一般规定</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2.1.1  考核评价标准以表格的形式呈现，由考核表和维护工作报表组成。</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2.1.2  景观照明设施维护考核分为亮灯率情况、设施完好率情况、服务质量、安全文明施工四个部分，总分100分，按附表1进行考评。</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2.1.3  每次考核结束后维护企业应根据各项纸质考核表结果填写相应的电子表格，并于两个工作日内将纸质及电子考核表一同提交至城市照明管理部门</w:t>
      </w:r>
      <w:r>
        <w:rPr>
          <w:rFonts w:hint="eastAsia" w:ascii="仿宋" w:hAnsi="仿宋" w:eastAsia="仿宋" w:cs="仿宋"/>
          <w:color w:val="auto"/>
          <w:sz w:val="21"/>
          <w:szCs w:val="21"/>
          <w:highlight w:val="none"/>
          <w:lang w:val="en-US" w:eastAsia="zh-CN"/>
        </w:rPr>
        <w:t>或维护管理单位</w:t>
      </w:r>
      <w:r>
        <w:rPr>
          <w:rFonts w:hint="eastAsia" w:ascii="仿宋" w:hAnsi="仿宋" w:eastAsia="仿宋" w:cs="仿宋"/>
          <w:color w:val="auto"/>
          <w:sz w:val="21"/>
          <w:szCs w:val="21"/>
          <w:highlight w:val="none"/>
        </w:rPr>
        <w:t>。</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2.1.4  维护企业在维护工作中必须认真填写各项工作报表，并应于规定时间内提交至城市照明管理部门</w:t>
      </w:r>
      <w:r>
        <w:rPr>
          <w:rFonts w:hint="eastAsia" w:ascii="仿宋" w:hAnsi="仿宋" w:eastAsia="仿宋" w:cs="仿宋"/>
          <w:color w:val="auto"/>
          <w:sz w:val="21"/>
          <w:szCs w:val="21"/>
          <w:highlight w:val="none"/>
          <w:lang w:val="en-US" w:eastAsia="zh-CN"/>
        </w:rPr>
        <w:t>或维护管理单位</w:t>
      </w:r>
      <w:r>
        <w:rPr>
          <w:rFonts w:hint="eastAsia" w:ascii="仿宋" w:hAnsi="仿宋" w:eastAsia="仿宋" w:cs="仿宋"/>
          <w:color w:val="auto"/>
          <w:sz w:val="21"/>
          <w:szCs w:val="21"/>
          <w:highlight w:val="none"/>
        </w:rPr>
        <w:t>。</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2.1.5  各项表格应一式两份，城市照明管理部门</w:t>
      </w:r>
      <w:r>
        <w:rPr>
          <w:rFonts w:hint="eastAsia" w:ascii="仿宋" w:hAnsi="仿宋" w:eastAsia="仿宋" w:cs="仿宋"/>
          <w:color w:val="auto"/>
          <w:sz w:val="21"/>
          <w:szCs w:val="21"/>
          <w:highlight w:val="none"/>
          <w:lang w:val="en-US" w:eastAsia="zh-CN"/>
        </w:rPr>
        <w:t>或维护管理单位</w:t>
      </w:r>
      <w:r>
        <w:rPr>
          <w:rFonts w:hint="eastAsia" w:ascii="仿宋" w:hAnsi="仿宋" w:eastAsia="仿宋" w:cs="仿宋"/>
          <w:color w:val="auto"/>
          <w:sz w:val="21"/>
          <w:szCs w:val="21"/>
          <w:highlight w:val="none"/>
        </w:rPr>
        <w:t>和维护企业各存档一份。</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2.1.6  年度考核得分为该年度各月考核得分平均值。年度考核得分95分以上的维护企业可评为本维护年度一级诚信维护企业，年度考核得分90~95分的维护企业可评为本维护年度二级诚信维护企业。下一维护年度招标中可根据诚信级别酌情加分。</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2.1.7  考核结果作为维护费用的核算依据；年度维护费用为月维护费用之和。测评得分≥98时，不扣维护费；85≤测评得分＜98时：测评得分每下降0.1分，对应扣除维护费用30元；75分≤测评得分＜85分时：测评得分每下降0.1分，对应扣除维护费用50元；测评得分＜75分时：扣除当月维护费用的50% （如：月测评得分90分，考核扣减费用=30*（100-90）/0.1；月测评得分80分，考核扣减费用=50*（100-80）/0.1）。若累计两次测评得分 ＜75分，甲方有权扣除全部履约保证金，并有权单方解除合同。若因此给甲方造成损失的，乙方还应当进行赔偿。</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2.1.8  特殊情况扣费依据： </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2.1.8.1</w:t>
      </w:r>
      <w:r>
        <w:rPr>
          <w:rFonts w:hint="eastAsia" w:ascii="仿宋" w:hAnsi="仿宋" w:eastAsia="仿宋" w:cs="仿宋"/>
          <w:color w:val="auto"/>
          <w:sz w:val="21"/>
          <w:szCs w:val="21"/>
          <w:highlight w:val="none"/>
        </w:rPr>
        <w:t>甲方检查发现灯饰运行中的问题，乙方接到通知后，须按时予以修复，否则，一次扣除人民币200～500元（在日常管护费中扣除）。每季度内，类似情况出现3次以上，甲方有权终止合同，并不再支付当年度已发生的日常管护费。</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2.1.8.</w:t>
      </w:r>
      <w:r>
        <w:rPr>
          <w:rFonts w:hint="eastAsia" w:ascii="仿宋" w:hAnsi="仿宋" w:eastAsia="仿宋" w:cs="仿宋"/>
          <w:color w:val="auto"/>
          <w:sz w:val="21"/>
          <w:szCs w:val="21"/>
          <w:highlight w:val="none"/>
        </w:rPr>
        <w:t>2．乙方要保证灯具的完好率，出现灯具损坏要在24小时内及时进行修复，否则，每发现一次，扣除人民币100～200元（在日常管护费中扣除）。每季度内，类似情况出现3次以上，甲方有权终止合同，并不再支付当年度已发生的日常管护费。</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2.1.8.</w:t>
      </w:r>
      <w:r>
        <w:rPr>
          <w:rFonts w:hint="eastAsia" w:ascii="仿宋" w:hAnsi="仿宋" w:eastAsia="仿宋" w:cs="仿宋"/>
          <w:color w:val="auto"/>
          <w:sz w:val="21"/>
          <w:szCs w:val="21"/>
          <w:highlight w:val="none"/>
        </w:rPr>
        <w:t>3．因乙方日常管护工作不到位等原因，造成灯饰通夜亮灯，乙方除承担超时亮灯的电费外，并一次扣除人民币2000元（在日常管护费中扣除）；如果由此被新闻媒体曝光或上级批评，造成较坏影响，乙方除接受上述处罚外，再加扣除人民币5000元（在日常管护费中扣除），并向灯饰主管部门</w:t>
      </w:r>
      <w:r>
        <w:rPr>
          <w:rFonts w:hint="eastAsia" w:ascii="仿宋" w:hAnsi="仿宋" w:eastAsia="仿宋" w:cs="仿宋"/>
          <w:color w:val="auto"/>
          <w:sz w:val="21"/>
          <w:szCs w:val="21"/>
          <w:highlight w:val="none"/>
          <w:lang w:val="en-US" w:eastAsia="zh-CN"/>
        </w:rPr>
        <w:t>或维护管理单位</w:t>
      </w:r>
      <w:r>
        <w:rPr>
          <w:rFonts w:hint="eastAsia" w:ascii="仿宋" w:hAnsi="仿宋" w:eastAsia="仿宋" w:cs="仿宋"/>
          <w:color w:val="auto"/>
          <w:sz w:val="21"/>
          <w:szCs w:val="21"/>
          <w:highlight w:val="none"/>
        </w:rPr>
        <w:t>作出书面检查。每季度内，类似情况出现3次以上，甲方有权终止合同，并不再支付当年度已发生的日常管护费。</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2.1.8.</w:t>
      </w:r>
      <w:r>
        <w:rPr>
          <w:rFonts w:hint="eastAsia" w:ascii="仿宋" w:hAnsi="仿宋" w:eastAsia="仿宋" w:cs="仿宋"/>
          <w:color w:val="auto"/>
          <w:sz w:val="21"/>
          <w:szCs w:val="21"/>
          <w:highlight w:val="none"/>
        </w:rPr>
        <w:t>4．乙方在灯饰维护管理中，灯具及灯具中的各种电器在更换维修时必须使用原规格，原品牌（若原品牌产品停产或其他原因导致无法采购，须使用不低于原品牌的灯具和配件）的合格产品，所有更换的灯具型号必须提供相应的检验报告。如出现所用材料、设备不符合质量要求或配制规格降低，投光灯、三防灯等灯具没有配置补偿电容，乙方必须立即自行整改，及时纠正。如甲方发现乙方已使用不符合要求的材料、设备，乙方必须在24小时内予以纠正，出现一次扣除人民币1000元（在日常管护费中扣除），每季度内，类似情况出现3次，甲方有权终止合同，不再支付当年度已发生的日常管护费。</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2.1.8.</w:t>
      </w:r>
      <w:r>
        <w:rPr>
          <w:rFonts w:hint="eastAsia" w:ascii="仿宋" w:hAnsi="仿宋" w:eastAsia="仿宋" w:cs="仿宋"/>
          <w:color w:val="auto"/>
          <w:sz w:val="21"/>
          <w:szCs w:val="21"/>
          <w:highlight w:val="none"/>
        </w:rPr>
        <w:t>5．在重要接待、庆典和节日，乙方未按照甲方要求办理，或因乙方日常管护工作不到位造成灯饰不能亮灯，致使甲方工作受影响，一次扣除人民币500～2000元（在日常管护费中扣除），并向灯饰主管部门作出书面检查。每季度内，类似情况出现3次以上，甲方有权终止合同，并不再支付当年度已发生的日常管护费。</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2.1.8.</w:t>
      </w:r>
      <w:r>
        <w:rPr>
          <w:rFonts w:hint="eastAsia" w:ascii="仿宋" w:hAnsi="仿宋" w:eastAsia="仿宋" w:cs="仿宋"/>
          <w:color w:val="auto"/>
          <w:sz w:val="21"/>
          <w:szCs w:val="21"/>
          <w:highlight w:val="none"/>
        </w:rPr>
        <w:t>6. 在日常管护期间，不论何种原因造成乙方企业灭失（包括企业破产、倒闭、解散、兼并、合并以及迁移），乙方不得将日常管护工作转给他人，甲方有权终止合同，并不再支付当年度已发生的日常管护费。本</w:t>
      </w:r>
      <w:r>
        <w:rPr>
          <w:rFonts w:hint="eastAsia" w:ascii="仿宋" w:hAnsi="仿宋" w:eastAsia="仿宋" w:cs="仿宋"/>
          <w:color w:val="auto"/>
          <w:sz w:val="21"/>
          <w:szCs w:val="21"/>
          <w:highlight w:val="none"/>
          <w:lang w:eastAsia="zh-CN"/>
        </w:rPr>
        <w:t>合同</w:t>
      </w:r>
      <w:r>
        <w:rPr>
          <w:rFonts w:hint="eastAsia" w:ascii="仿宋" w:hAnsi="仿宋" w:eastAsia="仿宋" w:cs="仿宋"/>
          <w:color w:val="auto"/>
          <w:sz w:val="21"/>
          <w:szCs w:val="21"/>
          <w:highlight w:val="none"/>
        </w:rPr>
        <w:t>因此解除的，乙方应当自解除之日起10日内向甲方退还甲方已经支付的全部</w:t>
      </w:r>
      <w:r>
        <w:rPr>
          <w:rFonts w:hint="eastAsia" w:ascii="仿宋" w:hAnsi="仿宋" w:eastAsia="仿宋" w:cs="仿宋"/>
          <w:color w:val="auto"/>
          <w:sz w:val="21"/>
          <w:szCs w:val="21"/>
          <w:highlight w:val="none"/>
          <w:lang w:eastAsia="zh-CN"/>
        </w:rPr>
        <w:t>合同</w:t>
      </w:r>
      <w:r>
        <w:rPr>
          <w:rFonts w:hint="eastAsia" w:ascii="仿宋" w:hAnsi="仿宋" w:eastAsia="仿宋" w:cs="仿宋"/>
          <w:color w:val="auto"/>
          <w:sz w:val="21"/>
          <w:szCs w:val="21"/>
          <w:highlight w:val="none"/>
        </w:rPr>
        <w:t>价款。逾期退还的，每逾期一日按万分之五收取资金占用利息。</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2.1.8.</w:t>
      </w:r>
      <w:r>
        <w:rPr>
          <w:rFonts w:hint="eastAsia" w:ascii="仿宋" w:hAnsi="仿宋" w:eastAsia="仿宋" w:cs="仿宋"/>
          <w:color w:val="auto"/>
          <w:sz w:val="21"/>
          <w:szCs w:val="21"/>
          <w:highlight w:val="none"/>
        </w:rPr>
        <w:t>7．乙方擅自更换项目管理人员及操作人员的违约责任：未经许可更换项目经理，甲方将收取乙方违约金5万元（在日常管护费中扣除）；未经许可更换安全员、电工，甲方将收取乙方违约金2万元（在日常管护费中扣除）。</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2.1.8.</w:t>
      </w:r>
      <w:r>
        <w:rPr>
          <w:rFonts w:hint="eastAsia" w:ascii="仿宋" w:hAnsi="仿宋" w:eastAsia="仿宋" w:cs="仿宋"/>
          <w:color w:val="auto"/>
          <w:sz w:val="21"/>
          <w:szCs w:val="21"/>
          <w:highlight w:val="none"/>
        </w:rPr>
        <w:t>8．乙方在本</w:t>
      </w:r>
      <w:r>
        <w:rPr>
          <w:rFonts w:hint="eastAsia" w:ascii="仿宋" w:hAnsi="仿宋" w:eastAsia="仿宋" w:cs="仿宋"/>
          <w:color w:val="auto"/>
          <w:sz w:val="21"/>
          <w:szCs w:val="21"/>
          <w:highlight w:val="none"/>
          <w:lang w:eastAsia="zh-CN"/>
        </w:rPr>
        <w:t>合同</w:t>
      </w:r>
      <w:r>
        <w:rPr>
          <w:rFonts w:hint="eastAsia" w:ascii="仿宋" w:hAnsi="仿宋" w:eastAsia="仿宋" w:cs="仿宋"/>
          <w:color w:val="auto"/>
          <w:sz w:val="21"/>
          <w:szCs w:val="21"/>
          <w:highlight w:val="none"/>
        </w:rPr>
        <w:t>有效期内不得有任何形式的恶意停工、暂停和不合理的消极怠工，如有此类事情发生，甲方或主管部门有权从</w:t>
      </w:r>
      <w:r>
        <w:rPr>
          <w:rFonts w:hint="eastAsia" w:ascii="仿宋" w:hAnsi="仿宋" w:eastAsia="仿宋" w:cs="仿宋"/>
          <w:color w:val="auto"/>
          <w:sz w:val="21"/>
          <w:szCs w:val="21"/>
          <w:highlight w:val="none"/>
          <w:lang w:eastAsia="zh-CN"/>
        </w:rPr>
        <w:t>合同</w:t>
      </w:r>
      <w:r>
        <w:rPr>
          <w:rFonts w:hint="eastAsia" w:ascii="仿宋" w:hAnsi="仿宋" w:eastAsia="仿宋" w:cs="仿宋"/>
          <w:color w:val="auto"/>
          <w:sz w:val="21"/>
          <w:szCs w:val="21"/>
          <w:highlight w:val="none"/>
        </w:rPr>
        <w:t>价款内直接扣除10%作为违约金（在日常管护费中扣除）。</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  景观照明设施维护考核</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  考核内容</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3.1.1  亮灯率考核</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城市照明管理部门</w:t>
      </w:r>
      <w:r>
        <w:rPr>
          <w:rFonts w:hint="eastAsia" w:ascii="仿宋" w:hAnsi="仿宋" w:eastAsia="仿宋" w:cs="仿宋"/>
          <w:color w:val="auto"/>
          <w:sz w:val="21"/>
          <w:szCs w:val="21"/>
          <w:highlight w:val="none"/>
          <w:lang w:val="en-US" w:eastAsia="zh-CN"/>
        </w:rPr>
        <w:t>或委托维护管理单位</w:t>
      </w:r>
      <w:r>
        <w:rPr>
          <w:rFonts w:hint="eastAsia" w:ascii="仿宋" w:hAnsi="仿宋" w:eastAsia="仿宋" w:cs="仿宋"/>
          <w:color w:val="auto"/>
          <w:sz w:val="21"/>
          <w:szCs w:val="21"/>
          <w:highlight w:val="none"/>
        </w:rPr>
        <w:t>每月对各段的景观照明灯具亮灯情况检查1次，并计算亮灯率。</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亮灯率计算：以某个单体建筑的亮灯率为例，除线型灯以长度为单位外，其余灯具均以亮灯点数为单位计算，则该建筑的亮灯率为实际亮灯数与应亮灯数之比的百分数。</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3.1.2  设施完好情况的考核</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城市照明管理部门</w:t>
      </w:r>
      <w:r>
        <w:rPr>
          <w:rFonts w:hint="eastAsia" w:ascii="仿宋" w:hAnsi="仿宋" w:eastAsia="仿宋" w:cs="仿宋"/>
          <w:color w:val="auto"/>
          <w:sz w:val="21"/>
          <w:szCs w:val="21"/>
          <w:highlight w:val="none"/>
          <w:lang w:val="en-US" w:eastAsia="zh-CN"/>
        </w:rPr>
        <w:t>或维护管理单位</w:t>
      </w:r>
      <w:r>
        <w:rPr>
          <w:rFonts w:hint="eastAsia" w:ascii="仿宋" w:hAnsi="仿宋" w:eastAsia="仿宋" w:cs="仿宋"/>
          <w:color w:val="auto"/>
          <w:sz w:val="21"/>
          <w:szCs w:val="21"/>
          <w:highlight w:val="none"/>
        </w:rPr>
        <w:t>每月随机抽取2栋建（构）筑物或2处的景观照明设施进行考核。</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3.1.3  服务质量的考核</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城市照明管理部门</w:t>
      </w:r>
      <w:r>
        <w:rPr>
          <w:rFonts w:hint="eastAsia" w:ascii="仿宋" w:hAnsi="仿宋" w:eastAsia="仿宋" w:cs="仿宋"/>
          <w:color w:val="auto"/>
          <w:sz w:val="21"/>
          <w:szCs w:val="21"/>
          <w:highlight w:val="none"/>
          <w:lang w:val="en-US" w:eastAsia="zh-CN"/>
        </w:rPr>
        <w:t>或维护管理单位</w:t>
      </w:r>
      <w:r>
        <w:rPr>
          <w:rFonts w:hint="eastAsia" w:ascii="仿宋" w:hAnsi="仿宋" w:eastAsia="仿宋" w:cs="仿宋"/>
          <w:color w:val="auto"/>
          <w:sz w:val="21"/>
          <w:szCs w:val="21"/>
          <w:highlight w:val="none"/>
        </w:rPr>
        <w:t>每月对维护企业的服务质量进行考核。</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3.1.4  安全文明施工的考核</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城市照明管理部门</w:t>
      </w:r>
      <w:r>
        <w:rPr>
          <w:rFonts w:hint="eastAsia" w:ascii="仿宋" w:hAnsi="仿宋" w:eastAsia="仿宋" w:cs="仿宋"/>
          <w:color w:val="auto"/>
          <w:sz w:val="21"/>
          <w:szCs w:val="21"/>
          <w:highlight w:val="none"/>
          <w:lang w:val="en-US" w:eastAsia="zh-CN"/>
        </w:rPr>
        <w:t>或维护管理单位</w:t>
      </w:r>
      <w:r>
        <w:rPr>
          <w:rFonts w:hint="eastAsia" w:ascii="仿宋" w:hAnsi="仿宋" w:eastAsia="仿宋" w:cs="仿宋"/>
          <w:color w:val="auto"/>
          <w:sz w:val="21"/>
          <w:szCs w:val="21"/>
          <w:highlight w:val="none"/>
        </w:rPr>
        <w:t>对维护企业作业时的安全措施的考核。</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  考核评价标准的具体形式</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3.2.1  景观照明设施考核表</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景观照明设施考核表由《景观照明设施考核汇总表》、《亮灯率情况考核表》、《设施完好率情况考核表》、《服务质量情况考核表》、《安全文明施工考核表》、《景观照明设施考核结果应用表》组成。</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3.2.2  维护工作报表的组成</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维护工作报表由《维护人员考勤表》、《月工作报表》、《景观照明设施巡修记录表》、《景观照明设施亮灯情况记录表》、《景观照明设施信息统计表》、《景观照明设施更换记录表》、《景观照明新移交或改扩建项目录入表》等表格组成。</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  考核结果应用</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3.3.1  考核表格的应用</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城市照明管理部门</w:t>
      </w:r>
      <w:r>
        <w:rPr>
          <w:rFonts w:hint="eastAsia" w:ascii="仿宋" w:hAnsi="仿宋" w:eastAsia="仿宋" w:cs="仿宋"/>
          <w:color w:val="auto"/>
          <w:sz w:val="21"/>
          <w:szCs w:val="21"/>
          <w:highlight w:val="none"/>
          <w:lang w:val="en-US" w:eastAsia="zh-CN"/>
        </w:rPr>
        <w:t>或维护管理单位</w:t>
      </w:r>
      <w:r>
        <w:rPr>
          <w:rFonts w:hint="eastAsia" w:ascii="仿宋" w:hAnsi="仿宋" w:eastAsia="仿宋" w:cs="仿宋"/>
          <w:color w:val="auto"/>
          <w:sz w:val="21"/>
          <w:szCs w:val="21"/>
          <w:highlight w:val="none"/>
        </w:rPr>
        <w:t>应按附表1对维护企业的维护质量进行考评。</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  维护费用的核算</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1.测评得分≥98时，不扣维护费；</w:t>
      </w:r>
    </w:p>
    <w:p>
      <w:pPr>
        <w:snapToGrid w:val="0"/>
        <w:spacing w:line="300" w:lineRule="exact"/>
        <w:ind w:firstLine="420" w:firstLineChars="200"/>
        <w:rPr>
          <w:rFonts w:hint="eastAsia" w:ascii="仿宋" w:hAnsi="仿宋" w:eastAsia="仿宋" w:cs="仿宋"/>
          <w:color w:val="auto"/>
          <w:sz w:val="21"/>
          <w:szCs w:val="21"/>
          <w:highlight w:val="none"/>
        </w:rPr>
      </w:pPr>
      <w:bookmarkStart w:id="0" w:name="_Toc519691720"/>
      <w:bookmarkStart w:id="1" w:name="_Toc513456687"/>
      <w:bookmarkStart w:id="2" w:name="_Toc500233895"/>
      <w:bookmarkStart w:id="3" w:name="_Toc532557297"/>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2. 85分≤测评得分＜98分时：测评得分每下降0.1分，对应扣除维护费用30元；</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75分≤测评得分＜85分时：测评得分每下降0.1分，对应扣除维护费用50元；</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4.测评得分＜75分时：扣除当月维护费用的50% 。首月考核得分＜75分时，甲方有权扣除全部履约保证金，并有权单方解除合同。并不再支付当年度已发生的日常管护费。</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5. 若累计两次测评得分 ＜75分（首月除外），甲方有权扣除全部履约保证金，并有权单方解除合同。若因此给甲方造成损失的，乙方还应当进行赔偿。</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6.特殊情况</w:t>
      </w:r>
    </w:p>
    <w:p>
      <w:pPr>
        <w:snapToGrid w:val="0"/>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6.1甲方检查发现灯饰运行中的问题，乙方接到通知后，须按时予以修复，否则，一次扣除人民币200～500元（在日常管护费中扣除）。每季度内，类似情况出现3次以上，甲方有权终止合同，并不再支付当年度已发生的日常管护费。</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6.2乙方要保证灯具的完好率，出现灯具损坏要在24小时内及时进行修复，否则，每发现一次，扣除人民币100～200元（在日常管护费中扣除）。每季度内，类似情况出现3次以上，甲方有权终止合同，并不再支付当年度已发生的日常管护费。</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6.3因乙方日常管护工作不到位等原因，造成灯饰通夜亮灯，乙方除承担超时亮灯的电费外，并一次扣除人民币2000元（在日常管护费中扣除）；如果由此被新闻媒体曝光或上级批评，造成较坏影响，乙方除接受上述处罚外，再加扣除人民币5000元（在日常管护费中扣除），并向灯饰主管部门作出书面检查。每季度内，类似情况出现3次以上，甲方有权终止合同，并不再支付当年度已发生的日常管护费。</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6.4乙方在灯饰维护管理中，灯具及灯具中的各种电器在更换维修时必须使用原规格，原品牌（若原品牌产品停产或其他原因导致无法采购，须使用不低于原品牌的灯具和配件）的合格产品，所有更换的灯具型号必须提供相应的检验报告。如出现所用材料、设备不符合质量要求或配制规格降低，投光灯、三防灯等灯具没有配置补偿电容，乙方必须立即自行整改，及时纠正。如甲方发现乙方已使用不符合要求的材料、设备，乙方必须在24小时内予以纠正，出现一次扣除人民币1000元（在日常管护费中扣除），每季度内，类似情况出现3次，甲方有权终止合同，不再支付当年度已发生的日常管护费。</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6.5在重要接待、庆典和节日，乙方未按照甲方要求办理，或因乙方日常管护工作不到位造成灯饰不能亮灯，致使甲方工作受影响，一次扣除人民币500～2000元（在日常管护费中扣除），并向灯饰主管部门</w:t>
      </w:r>
      <w:r>
        <w:rPr>
          <w:rFonts w:hint="eastAsia" w:ascii="仿宋" w:hAnsi="仿宋" w:eastAsia="仿宋" w:cs="仿宋"/>
          <w:color w:val="auto"/>
          <w:sz w:val="21"/>
          <w:szCs w:val="21"/>
          <w:highlight w:val="none"/>
          <w:lang w:val="en-US" w:eastAsia="zh-CN"/>
        </w:rPr>
        <w:t>或委托管理单位</w:t>
      </w:r>
      <w:r>
        <w:rPr>
          <w:rFonts w:hint="eastAsia" w:ascii="仿宋" w:hAnsi="仿宋" w:eastAsia="仿宋" w:cs="仿宋"/>
          <w:color w:val="auto"/>
          <w:sz w:val="21"/>
          <w:szCs w:val="21"/>
          <w:highlight w:val="none"/>
        </w:rPr>
        <w:t>作出书面检查。每季度内，类似情况出现3次以上，甲方有权终止合同，并不再支付当年度已发生的日常管护费。</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6.6在日常管护期间，不论何种原因造成乙方企业灭失（包括企业破产、倒闭、解散、兼并、合并以及迁移），乙方不得将日常管护工作转给他人，甲方有权终止合同，并不再支付当年度已发生的日常管护费。本</w:t>
      </w:r>
      <w:r>
        <w:rPr>
          <w:rFonts w:hint="eastAsia" w:ascii="仿宋" w:hAnsi="仿宋" w:eastAsia="仿宋" w:cs="仿宋"/>
          <w:color w:val="auto"/>
          <w:sz w:val="21"/>
          <w:szCs w:val="21"/>
          <w:highlight w:val="none"/>
          <w:lang w:eastAsia="zh-CN"/>
        </w:rPr>
        <w:t>合同</w:t>
      </w:r>
      <w:r>
        <w:rPr>
          <w:rFonts w:hint="eastAsia" w:ascii="仿宋" w:hAnsi="仿宋" w:eastAsia="仿宋" w:cs="仿宋"/>
          <w:color w:val="auto"/>
          <w:sz w:val="21"/>
          <w:szCs w:val="21"/>
          <w:highlight w:val="none"/>
        </w:rPr>
        <w:t>因此解除的，乙方应当自解除之日起10日内向甲方退还甲方已经支付的全部</w:t>
      </w:r>
      <w:r>
        <w:rPr>
          <w:rFonts w:hint="eastAsia" w:ascii="仿宋" w:hAnsi="仿宋" w:eastAsia="仿宋" w:cs="仿宋"/>
          <w:color w:val="auto"/>
          <w:sz w:val="21"/>
          <w:szCs w:val="21"/>
          <w:highlight w:val="none"/>
          <w:lang w:eastAsia="zh-CN"/>
        </w:rPr>
        <w:t>合同</w:t>
      </w:r>
      <w:r>
        <w:rPr>
          <w:rFonts w:hint="eastAsia" w:ascii="仿宋" w:hAnsi="仿宋" w:eastAsia="仿宋" w:cs="仿宋"/>
          <w:color w:val="auto"/>
          <w:sz w:val="21"/>
          <w:szCs w:val="21"/>
          <w:highlight w:val="none"/>
        </w:rPr>
        <w:t>价款。逾期退还的，每逾期一日按万分之五收取资金占用利息。</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6.7乙方擅自更换项目管理人员及操作人员的违约责任：未经许可更换项目经理，甲方将收取乙方违约金5万元（在日常管护费中扣除）；未经许可更换安全员、电工，甲方将收取乙方违约金2万元（在日常管护费中扣除）。</w:t>
      </w:r>
    </w:p>
    <w:p>
      <w:pPr>
        <w:spacing w:line="3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3.3.2</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6.8乙方在本</w:t>
      </w:r>
      <w:r>
        <w:rPr>
          <w:rFonts w:hint="eastAsia" w:ascii="仿宋" w:hAnsi="仿宋" w:eastAsia="仿宋" w:cs="仿宋"/>
          <w:color w:val="auto"/>
          <w:sz w:val="21"/>
          <w:szCs w:val="21"/>
          <w:highlight w:val="none"/>
          <w:lang w:eastAsia="zh-CN"/>
        </w:rPr>
        <w:t>合同</w:t>
      </w:r>
      <w:r>
        <w:rPr>
          <w:rFonts w:hint="eastAsia" w:ascii="仿宋" w:hAnsi="仿宋" w:eastAsia="仿宋" w:cs="仿宋"/>
          <w:color w:val="auto"/>
          <w:sz w:val="21"/>
          <w:szCs w:val="21"/>
          <w:highlight w:val="none"/>
        </w:rPr>
        <w:t>有效期内不得有任何形式的恶意停工、暂停和不合理的消极怠工，如有此类事情发生，甲方或主管部门有权从</w:t>
      </w:r>
      <w:r>
        <w:rPr>
          <w:rFonts w:hint="eastAsia" w:ascii="仿宋" w:hAnsi="仿宋" w:eastAsia="仿宋" w:cs="仿宋"/>
          <w:color w:val="auto"/>
          <w:sz w:val="21"/>
          <w:szCs w:val="21"/>
          <w:highlight w:val="none"/>
          <w:lang w:eastAsia="zh-CN"/>
        </w:rPr>
        <w:t>合同</w:t>
      </w:r>
      <w:r>
        <w:rPr>
          <w:rFonts w:hint="eastAsia" w:ascii="仿宋" w:hAnsi="仿宋" w:eastAsia="仿宋" w:cs="仿宋"/>
          <w:color w:val="auto"/>
          <w:sz w:val="21"/>
          <w:szCs w:val="21"/>
          <w:highlight w:val="none"/>
        </w:rPr>
        <w:t>价款内直接扣除10%作为违约金（在日常管护费中扣除）。</w:t>
      </w:r>
    </w:p>
    <w:p>
      <w:pPr>
        <w:widowControl w:val="0"/>
        <w:spacing w:line="360" w:lineRule="auto"/>
        <w:ind w:firstLine="420"/>
        <w:jc w:val="both"/>
        <w:rPr>
          <w:rFonts w:ascii="宋体" w:hAnsi="宋体" w:eastAsia="仿宋_GB2312" w:cs="Times New Roman"/>
          <w:color w:val="auto"/>
          <w:kern w:val="2"/>
          <w:sz w:val="24"/>
          <w:highlight w:val="none"/>
          <w:lang w:val="en-US" w:eastAsia="zh-CN" w:bidi="ar-SA"/>
        </w:rPr>
      </w:pPr>
    </w:p>
    <w:p>
      <w:pPr>
        <w:spacing w:before="240" w:after="240"/>
        <w:ind w:left="431"/>
        <w:jc w:val="both"/>
        <w:rPr>
          <w:rFonts w:ascii="等线" w:hAnsi="等线" w:eastAsia="黑体"/>
          <w:b/>
          <w:bCs/>
          <w:color w:val="auto"/>
          <w:kern w:val="44"/>
          <w:sz w:val="32"/>
          <w:szCs w:val="44"/>
          <w:highlight w:val="none"/>
        </w:rPr>
        <w:sectPr>
          <w:headerReference r:id="rId3" w:type="first"/>
          <w:footerReference r:id="rId4" w:type="default"/>
          <w:footerReference r:id="rId5" w:type="even"/>
          <w:pgSz w:w="11907" w:h="16840"/>
          <w:pgMar w:top="1134" w:right="1191" w:bottom="1134" w:left="1304" w:header="567" w:footer="992" w:gutter="0"/>
          <w:pgNumType w:fmt="numberInDash"/>
          <w:cols w:space="720" w:num="1"/>
          <w:titlePg/>
          <w:docGrid w:linePitch="312" w:charSpace="0"/>
        </w:sectPr>
      </w:pPr>
    </w:p>
    <w:p>
      <w:pPr>
        <w:keepNext/>
        <w:widowControl w:val="0"/>
        <w:snapToGrid w:val="0"/>
        <w:spacing w:before="240" w:after="240" w:line="360" w:lineRule="atLeast"/>
        <w:ind w:left="431"/>
        <w:jc w:val="both"/>
        <w:outlineLvl w:val="0"/>
        <w:rPr>
          <w:rFonts w:hint="eastAsia" w:ascii="仿宋" w:hAnsi="仿宋" w:eastAsia="仿宋" w:cs="仿宋"/>
          <w:b/>
          <w:bCs/>
          <w:color w:val="auto"/>
          <w:kern w:val="44"/>
          <w:sz w:val="32"/>
          <w:szCs w:val="44"/>
          <w:highlight w:val="none"/>
          <w:lang w:val="en-US" w:eastAsia="zh-CN" w:bidi="ar-SA"/>
        </w:rPr>
      </w:pPr>
      <w:r>
        <w:rPr>
          <w:rFonts w:hint="eastAsia" w:ascii="仿宋" w:hAnsi="仿宋" w:eastAsia="仿宋" w:cs="仿宋"/>
          <w:b/>
          <w:bCs/>
          <w:color w:val="auto"/>
          <w:kern w:val="44"/>
          <w:sz w:val="32"/>
          <w:szCs w:val="44"/>
          <w:highlight w:val="none"/>
          <w:lang w:val="en-US" w:eastAsia="zh-CN" w:bidi="ar-SA"/>
        </w:rPr>
        <w:t>附表1：</w:t>
      </w:r>
    </w:p>
    <w:p>
      <w:pPr>
        <w:keepNext/>
        <w:widowControl w:val="0"/>
        <w:snapToGrid w:val="0"/>
        <w:spacing w:before="240" w:after="240" w:line="360" w:lineRule="atLeast"/>
        <w:ind w:left="431" w:firstLine="1606" w:firstLineChars="500"/>
        <w:jc w:val="both"/>
        <w:outlineLvl w:val="0"/>
        <w:rPr>
          <w:rFonts w:hint="eastAsia" w:ascii="仿宋" w:hAnsi="仿宋" w:eastAsia="仿宋" w:cs="仿宋"/>
          <w:b/>
          <w:bCs/>
          <w:color w:val="auto"/>
          <w:kern w:val="44"/>
          <w:sz w:val="32"/>
          <w:szCs w:val="44"/>
          <w:highlight w:val="none"/>
          <w:lang w:val="en-US" w:eastAsia="zh-CN" w:bidi="ar-SA"/>
        </w:rPr>
      </w:pPr>
      <w:r>
        <w:rPr>
          <w:rFonts w:hint="eastAsia" w:ascii="仿宋" w:hAnsi="仿宋" w:eastAsia="仿宋" w:cs="仿宋"/>
          <w:b/>
          <w:bCs/>
          <w:color w:val="auto"/>
          <w:kern w:val="44"/>
          <w:sz w:val="32"/>
          <w:szCs w:val="44"/>
          <w:highlight w:val="none"/>
          <w:lang w:val="en-US" w:eastAsia="zh-CN" w:bidi="ar-SA"/>
        </w:rPr>
        <w:t>景观照明设施维护考核表</w:t>
      </w:r>
      <w:bookmarkEnd w:id="0"/>
      <w:bookmarkEnd w:id="1"/>
      <w:bookmarkEnd w:id="2"/>
      <w:bookmarkEnd w:id="3"/>
    </w:p>
    <w:p>
      <w:pPr>
        <w:keepNext/>
        <w:keepLines/>
        <w:spacing w:before="468" w:beforeLines="150" w:after="156" w:afterLines="50" w:line="360" w:lineRule="auto"/>
        <w:jc w:val="center"/>
        <w:outlineLvl w:val="1"/>
        <w:rPr>
          <w:rFonts w:hint="eastAsia" w:ascii="仿宋" w:hAnsi="仿宋" w:eastAsia="仿宋" w:cs="仿宋"/>
          <w:b/>
          <w:bCs/>
          <w:color w:val="auto"/>
          <w:sz w:val="28"/>
          <w:szCs w:val="32"/>
          <w:highlight w:val="none"/>
        </w:rPr>
      </w:pPr>
      <w:bookmarkStart w:id="4" w:name="_Toc532557298"/>
      <w:bookmarkStart w:id="5" w:name="_Toc519691721"/>
      <w:bookmarkStart w:id="6" w:name="_Toc500233896"/>
      <w:bookmarkStart w:id="7" w:name="_Toc513456688"/>
      <w:bookmarkStart w:id="8" w:name="_Toc497138333"/>
      <w:r>
        <w:rPr>
          <w:rFonts w:hint="eastAsia" w:ascii="仿宋" w:hAnsi="仿宋" w:eastAsia="仿宋" w:cs="仿宋"/>
          <w:b/>
          <w:bCs/>
          <w:color w:val="auto"/>
          <w:sz w:val="28"/>
          <w:szCs w:val="32"/>
          <w:highlight w:val="none"/>
        </w:rPr>
        <w:t>1  景观照明设施考核汇总表</w:t>
      </w:r>
      <w:bookmarkEnd w:id="4"/>
      <w:bookmarkEnd w:id="5"/>
      <w:bookmarkEnd w:id="6"/>
      <w:bookmarkEnd w:id="7"/>
      <w:bookmarkEnd w:id="8"/>
    </w:p>
    <w:tbl>
      <w:tblPr>
        <w:tblStyle w:val="7"/>
        <w:tblW w:w="88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2"/>
        <w:gridCol w:w="2522"/>
        <w:gridCol w:w="793"/>
        <w:gridCol w:w="1556"/>
        <w:gridCol w:w="157"/>
        <w:gridCol w:w="1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7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标    段</w:t>
            </w:r>
          </w:p>
        </w:tc>
        <w:tc>
          <w:tcPr>
            <w:tcW w:w="7025" w:type="dxa"/>
            <w:gridSpan w:val="5"/>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7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维护企业</w:t>
            </w:r>
          </w:p>
        </w:tc>
        <w:tc>
          <w:tcPr>
            <w:tcW w:w="3315"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p>
        </w:tc>
        <w:tc>
          <w:tcPr>
            <w:tcW w:w="1713"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项目负责人</w:t>
            </w:r>
          </w:p>
        </w:tc>
        <w:tc>
          <w:tcPr>
            <w:tcW w:w="1997"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7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lang w:val="en-US" w:eastAsia="zh-CN"/>
              </w:rPr>
            </w:pPr>
            <w:r>
              <w:rPr>
                <w:rFonts w:hint="eastAsia" w:ascii="仿宋" w:hAnsi="仿宋" w:eastAsia="仿宋" w:cs="仿宋"/>
                <w:color w:val="auto"/>
                <w:kern w:val="0"/>
                <w:sz w:val="28"/>
                <w:szCs w:val="21"/>
                <w:highlight w:val="none"/>
              </w:rPr>
              <w:t>管理部门</w:t>
            </w:r>
            <w:r>
              <w:rPr>
                <w:rFonts w:hint="eastAsia" w:ascii="仿宋" w:hAnsi="仿宋" w:eastAsia="仿宋" w:cs="仿宋"/>
                <w:color w:val="auto"/>
                <w:kern w:val="0"/>
                <w:sz w:val="28"/>
                <w:szCs w:val="21"/>
                <w:highlight w:val="none"/>
                <w:lang w:val="en-US" w:eastAsia="zh-CN"/>
              </w:rPr>
              <w:t>/</w:t>
            </w:r>
          </w:p>
          <w:p>
            <w:pPr>
              <w:spacing w:line="360" w:lineRule="auto"/>
              <w:jc w:val="center"/>
              <w:rPr>
                <w:rFonts w:hint="default" w:ascii="仿宋" w:hAnsi="仿宋" w:eastAsia="仿宋" w:cs="仿宋"/>
                <w:color w:val="auto"/>
                <w:kern w:val="0"/>
                <w:sz w:val="28"/>
                <w:szCs w:val="21"/>
                <w:highlight w:val="none"/>
                <w:lang w:val="en-US" w:eastAsia="zh-CN"/>
              </w:rPr>
            </w:pPr>
            <w:r>
              <w:rPr>
                <w:rFonts w:hint="eastAsia" w:ascii="仿宋" w:hAnsi="仿宋" w:eastAsia="仿宋" w:cs="仿宋"/>
                <w:color w:val="auto"/>
                <w:kern w:val="0"/>
                <w:sz w:val="28"/>
                <w:szCs w:val="21"/>
                <w:highlight w:val="none"/>
                <w:lang w:val="en-US" w:eastAsia="zh-CN"/>
              </w:rPr>
              <w:t>单位</w:t>
            </w:r>
          </w:p>
        </w:tc>
        <w:tc>
          <w:tcPr>
            <w:tcW w:w="3315"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p>
        </w:tc>
        <w:tc>
          <w:tcPr>
            <w:tcW w:w="1713"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考核负责人</w:t>
            </w:r>
          </w:p>
        </w:tc>
        <w:tc>
          <w:tcPr>
            <w:tcW w:w="1997"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7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考核日期</w:t>
            </w:r>
          </w:p>
        </w:tc>
        <w:tc>
          <w:tcPr>
            <w:tcW w:w="7025" w:type="dxa"/>
            <w:gridSpan w:val="5"/>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792"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考核得分</w:t>
            </w:r>
          </w:p>
        </w:tc>
        <w:tc>
          <w:tcPr>
            <w:tcW w:w="25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项  目</w:t>
            </w:r>
          </w:p>
        </w:tc>
        <w:tc>
          <w:tcPr>
            <w:tcW w:w="2349"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满分</w:t>
            </w: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79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kern w:val="0"/>
                <w:sz w:val="28"/>
                <w:szCs w:val="21"/>
                <w:highlight w:val="none"/>
              </w:rPr>
            </w:pPr>
          </w:p>
        </w:tc>
        <w:tc>
          <w:tcPr>
            <w:tcW w:w="25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亮灯率情况</w:t>
            </w:r>
          </w:p>
        </w:tc>
        <w:tc>
          <w:tcPr>
            <w:tcW w:w="2349"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40</w:t>
            </w: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79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kern w:val="0"/>
                <w:sz w:val="28"/>
                <w:szCs w:val="21"/>
                <w:highlight w:val="none"/>
              </w:rPr>
            </w:pPr>
          </w:p>
        </w:tc>
        <w:tc>
          <w:tcPr>
            <w:tcW w:w="25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设施完好率情况</w:t>
            </w:r>
          </w:p>
        </w:tc>
        <w:tc>
          <w:tcPr>
            <w:tcW w:w="2349"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30</w:t>
            </w: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79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kern w:val="0"/>
                <w:sz w:val="28"/>
                <w:szCs w:val="21"/>
                <w:highlight w:val="none"/>
              </w:rPr>
            </w:pPr>
          </w:p>
        </w:tc>
        <w:tc>
          <w:tcPr>
            <w:tcW w:w="25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服务质量</w:t>
            </w:r>
          </w:p>
        </w:tc>
        <w:tc>
          <w:tcPr>
            <w:tcW w:w="2349"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15</w:t>
            </w: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79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kern w:val="0"/>
                <w:sz w:val="28"/>
                <w:szCs w:val="21"/>
                <w:highlight w:val="none"/>
              </w:rPr>
            </w:pPr>
          </w:p>
        </w:tc>
        <w:tc>
          <w:tcPr>
            <w:tcW w:w="25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安全生产</w:t>
            </w:r>
          </w:p>
        </w:tc>
        <w:tc>
          <w:tcPr>
            <w:tcW w:w="2349"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15</w:t>
            </w: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79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kern w:val="0"/>
                <w:sz w:val="28"/>
                <w:szCs w:val="21"/>
                <w:highlight w:val="none"/>
              </w:rPr>
            </w:pPr>
          </w:p>
        </w:tc>
        <w:tc>
          <w:tcPr>
            <w:tcW w:w="252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总    分</w:t>
            </w:r>
          </w:p>
        </w:tc>
        <w:tc>
          <w:tcPr>
            <w:tcW w:w="2349"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100</w:t>
            </w:r>
          </w:p>
        </w:tc>
        <w:tc>
          <w:tcPr>
            <w:tcW w:w="2154"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7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r>
              <w:rPr>
                <w:rFonts w:hint="eastAsia" w:ascii="仿宋" w:hAnsi="仿宋" w:eastAsia="仿宋" w:cs="仿宋"/>
                <w:color w:val="auto"/>
                <w:kern w:val="0"/>
                <w:sz w:val="28"/>
                <w:szCs w:val="21"/>
                <w:highlight w:val="none"/>
              </w:rPr>
              <w:t>备注</w:t>
            </w:r>
          </w:p>
        </w:tc>
        <w:tc>
          <w:tcPr>
            <w:tcW w:w="7025" w:type="dxa"/>
            <w:gridSpan w:val="5"/>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kern w:val="0"/>
                <w:sz w:val="28"/>
                <w:szCs w:val="21"/>
                <w:highlight w:val="none"/>
              </w:rPr>
            </w:pPr>
          </w:p>
        </w:tc>
      </w:tr>
    </w:tbl>
    <w:p>
      <w:pPr>
        <w:spacing w:line="360" w:lineRule="auto"/>
        <w:rPr>
          <w:rFonts w:hint="eastAsia" w:ascii="仿宋" w:hAnsi="仿宋" w:eastAsia="仿宋" w:cs="仿宋"/>
          <w:color w:val="auto"/>
          <w:sz w:val="28"/>
          <w:szCs w:val="21"/>
          <w:highlight w:val="none"/>
        </w:rPr>
      </w:pPr>
    </w:p>
    <w:p>
      <w:pPr>
        <w:jc w:val="center"/>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br w:type="page"/>
      </w:r>
      <w:bookmarkStart w:id="9" w:name="_Toc519691723"/>
      <w:bookmarkStart w:id="10" w:name="_Toc532557300"/>
      <w:bookmarkStart w:id="11" w:name="_Toc513456690"/>
      <w:bookmarkStart w:id="12" w:name="_Toc532557299"/>
      <w:bookmarkStart w:id="13" w:name="_Toc500233897"/>
      <w:bookmarkStart w:id="14" w:name="_Toc513456689"/>
      <w:bookmarkStart w:id="15" w:name="_Toc497138335"/>
      <w:bookmarkStart w:id="16" w:name="_Toc519691722"/>
      <w:r>
        <w:rPr>
          <w:rFonts w:hint="eastAsia" w:ascii="仿宋" w:hAnsi="仿宋" w:eastAsia="仿宋" w:cs="仿宋"/>
          <w:b/>
          <w:bCs/>
          <w:color w:val="auto"/>
          <w:sz w:val="28"/>
          <w:szCs w:val="32"/>
          <w:highlight w:val="none"/>
        </w:rPr>
        <w:t>2  亮灯率情况考核表</w:t>
      </w:r>
      <w:bookmarkEnd w:id="9"/>
      <w:bookmarkEnd w:id="10"/>
      <w:bookmarkEnd w:id="11"/>
    </w:p>
    <w:tbl>
      <w:tblPr>
        <w:tblStyle w:val="7"/>
        <w:tblW w:w="8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2765"/>
        <w:gridCol w:w="3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4" w:hRule="atLeast"/>
          <w:jc w:val="center"/>
        </w:trPr>
        <w:tc>
          <w:tcPr>
            <w:tcW w:w="8309" w:type="dxa"/>
            <w:gridSpan w:val="3"/>
            <w:noWrap w:val="0"/>
            <w:vAlign w:val="top"/>
          </w:tcPr>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检查片区楼宇或桥梁名称：</w:t>
            </w: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亮灯情况说明：</w:t>
            </w: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1596" w:type="dxa"/>
            <w:noWrap w:val="0"/>
            <w:vAlign w:val="center"/>
          </w:tcPr>
          <w:p>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计算公式</w:t>
            </w:r>
          </w:p>
        </w:tc>
        <w:tc>
          <w:tcPr>
            <w:tcW w:w="6713" w:type="dxa"/>
            <w:gridSpan w:val="2"/>
            <w:noWrap w:val="0"/>
            <w:vAlign w:val="center"/>
          </w:tcPr>
          <w:p>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亮灯率=（实际亮灯数/应亮灯数）×100%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3" w:hRule="atLeast"/>
          <w:jc w:val="center"/>
        </w:trPr>
        <w:tc>
          <w:tcPr>
            <w:tcW w:w="1596" w:type="dxa"/>
            <w:noWrap w:val="0"/>
            <w:vAlign w:val="center"/>
          </w:tcPr>
          <w:p>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检查结果</w:t>
            </w:r>
          </w:p>
        </w:tc>
        <w:tc>
          <w:tcPr>
            <w:tcW w:w="6713" w:type="dxa"/>
            <w:gridSpan w:val="2"/>
            <w:noWrap w:val="0"/>
            <w:vAlign w:val="top"/>
          </w:tcPr>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该处片区灯具总数：                </w:t>
            </w: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熄灯数：                </w:t>
            </w: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亮灯率：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596" w:type="dxa"/>
            <w:noWrap w:val="0"/>
            <w:vAlign w:val="center"/>
          </w:tcPr>
          <w:p>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合格标准</w:t>
            </w:r>
          </w:p>
        </w:tc>
        <w:tc>
          <w:tcPr>
            <w:tcW w:w="6713" w:type="dxa"/>
            <w:gridSpan w:val="2"/>
            <w:noWrap w:val="0"/>
            <w:vAlign w:val="center"/>
          </w:tcPr>
          <w:p>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景观照明亮灯率≥98%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4361" w:type="dxa"/>
            <w:gridSpan w:val="2"/>
            <w:noWrap w:val="0"/>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得    分：</w:t>
            </w:r>
          </w:p>
        </w:tc>
        <w:tc>
          <w:tcPr>
            <w:tcW w:w="3948" w:type="dxa"/>
            <w:noWrap w:val="0"/>
            <w:vAlign w:val="top"/>
          </w:tcPr>
          <w:p>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维护企业：</w:t>
            </w: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维护人：</w:t>
            </w: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0" w:hRule="atLeast"/>
          <w:jc w:val="center"/>
        </w:trPr>
        <w:tc>
          <w:tcPr>
            <w:tcW w:w="4361" w:type="dxa"/>
            <w:gridSpan w:val="2"/>
            <w:noWrap w:val="0"/>
            <w:vAlign w:val="center"/>
          </w:tcPr>
          <w:p>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注：每月抽检1次，作为本月总体亮灯情况计算依据。总体亮灯情况</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rPr>
              <w:t>98%，得40分 ；比98%每低0.1个百分点，扣0.1分（总体亮灯情况计算保留到小数点后一位）。扣分计入考核汇总表。考核时未亮灯具要求24小时内修复，否则二次扣分。</w:t>
            </w:r>
          </w:p>
        </w:tc>
        <w:tc>
          <w:tcPr>
            <w:tcW w:w="3948" w:type="dxa"/>
            <w:noWrap w:val="0"/>
            <w:vAlign w:val="top"/>
          </w:tcPr>
          <w:p>
            <w:pPr>
              <w:rPr>
                <w:rFonts w:hint="eastAsia" w:ascii="仿宋" w:hAnsi="仿宋" w:eastAsia="仿宋" w:cs="仿宋"/>
                <w:color w:val="auto"/>
                <w:sz w:val="24"/>
                <w:szCs w:val="24"/>
                <w:highlight w:val="none"/>
              </w:rPr>
            </w:pPr>
          </w:p>
          <w:p>
            <w:pP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管理部门</w:t>
            </w:r>
            <w:r>
              <w:rPr>
                <w:rFonts w:hint="eastAsia" w:ascii="仿宋" w:hAnsi="仿宋" w:eastAsia="仿宋" w:cs="仿宋"/>
                <w:color w:val="auto"/>
                <w:sz w:val="24"/>
                <w:szCs w:val="24"/>
                <w:highlight w:val="none"/>
                <w:lang w:val="en-US" w:eastAsia="zh-CN"/>
              </w:rPr>
              <w:t>/单位</w:t>
            </w: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考核人：</w:t>
            </w: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bookmarkEnd w:id="12"/>
      <w:bookmarkEnd w:id="13"/>
      <w:bookmarkEnd w:id="14"/>
      <w:bookmarkEnd w:id="15"/>
      <w:bookmarkEnd w:id="16"/>
    </w:tbl>
    <w:p>
      <w:pPr>
        <w:widowControl/>
        <w:jc w:val="center"/>
        <w:rPr>
          <w:rFonts w:hint="eastAsia" w:ascii="仿宋" w:hAnsi="仿宋" w:eastAsia="仿宋" w:cs="仿宋"/>
          <w:b/>
          <w:bCs/>
          <w:color w:val="auto"/>
          <w:sz w:val="28"/>
          <w:szCs w:val="32"/>
          <w:highlight w:val="none"/>
        </w:rPr>
      </w:pPr>
      <w:r>
        <w:rPr>
          <w:rFonts w:hint="eastAsia" w:ascii="仿宋" w:hAnsi="仿宋" w:eastAsia="仿宋" w:cs="仿宋"/>
          <w:color w:val="auto"/>
          <w:sz w:val="24"/>
          <w:szCs w:val="24"/>
          <w:highlight w:val="none"/>
        </w:rPr>
        <w:br w:type="page"/>
      </w:r>
      <w:bookmarkStart w:id="17" w:name="_Toc497138337"/>
      <w:bookmarkStart w:id="18" w:name="_Toc500233900"/>
      <w:bookmarkStart w:id="19" w:name="_Toc532557301"/>
      <w:bookmarkStart w:id="20" w:name="_Toc519691724"/>
      <w:bookmarkStart w:id="21" w:name="_Toc513456691"/>
      <w:r>
        <w:rPr>
          <w:rFonts w:hint="eastAsia" w:ascii="仿宋" w:hAnsi="仿宋" w:eastAsia="仿宋" w:cs="仿宋"/>
          <w:b/>
          <w:bCs/>
          <w:color w:val="auto"/>
          <w:sz w:val="28"/>
          <w:szCs w:val="32"/>
          <w:highlight w:val="none"/>
        </w:rPr>
        <w:t>3  设施完好情况考核</w:t>
      </w:r>
      <w:bookmarkEnd w:id="17"/>
      <w:bookmarkEnd w:id="18"/>
      <w:r>
        <w:rPr>
          <w:rFonts w:hint="eastAsia" w:ascii="仿宋" w:hAnsi="仿宋" w:eastAsia="仿宋" w:cs="仿宋"/>
          <w:b/>
          <w:bCs/>
          <w:color w:val="auto"/>
          <w:sz w:val="28"/>
          <w:szCs w:val="32"/>
          <w:highlight w:val="none"/>
        </w:rPr>
        <w:t>表</w:t>
      </w:r>
      <w:bookmarkEnd w:id="19"/>
      <w:bookmarkEnd w:id="20"/>
      <w:bookmarkEnd w:id="21"/>
    </w:p>
    <w:tbl>
      <w:tblPr>
        <w:tblStyle w:val="7"/>
        <w:tblW w:w="92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1486"/>
        <w:gridCol w:w="2180"/>
        <w:gridCol w:w="1260"/>
        <w:gridCol w:w="1170"/>
        <w:gridCol w:w="1140"/>
        <w:gridCol w:w="1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832" w:type="dxa"/>
            <w:noWrap w:val="0"/>
            <w:vAlign w:val="center"/>
          </w:tcPr>
          <w:p>
            <w:pPr>
              <w:spacing w:line="276" w:lineRule="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设施</w:t>
            </w:r>
          </w:p>
        </w:tc>
        <w:tc>
          <w:tcPr>
            <w:tcW w:w="3666" w:type="dxa"/>
            <w:gridSpan w:val="2"/>
            <w:noWrap w:val="0"/>
            <w:vAlign w:val="center"/>
          </w:tcPr>
          <w:p>
            <w:pPr>
              <w:spacing w:line="276" w:lineRule="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检查项目</w:t>
            </w:r>
          </w:p>
        </w:tc>
        <w:tc>
          <w:tcPr>
            <w:tcW w:w="1260" w:type="dxa"/>
            <w:noWrap w:val="0"/>
            <w:vAlign w:val="center"/>
          </w:tcPr>
          <w:p>
            <w:pPr>
              <w:spacing w:line="276" w:lineRule="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每处扣分</w:t>
            </w:r>
          </w:p>
        </w:tc>
        <w:tc>
          <w:tcPr>
            <w:tcW w:w="1170" w:type="dxa"/>
            <w:noWrap w:val="0"/>
            <w:vAlign w:val="center"/>
          </w:tcPr>
          <w:p>
            <w:pPr>
              <w:spacing w:line="276" w:lineRule="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建筑物1</w:t>
            </w:r>
          </w:p>
        </w:tc>
        <w:tc>
          <w:tcPr>
            <w:tcW w:w="1140" w:type="dxa"/>
            <w:noWrap w:val="0"/>
            <w:vAlign w:val="center"/>
          </w:tcPr>
          <w:p>
            <w:pPr>
              <w:spacing w:line="276" w:lineRule="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建筑物2</w:t>
            </w:r>
          </w:p>
        </w:tc>
        <w:tc>
          <w:tcPr>
            <w:tcW w:w="1151" w:type="dxa"/>
            <w:noWrap w:val="0"/>
            <w:vAlign w:val="center"/>
          </w:tcPr>
          <w:p>
            <w:pPr>
              <w:spacing w:line="276" w:lineRule="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扣分小计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32" w:type="dxa"/>
            <w:vMerge w:val="restart"/>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供配电箱</w:t>
            </w: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室外电箱未加锁</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832" w:type="dxa"/>
            <w:vMerge w:val="continue"/>
            <w:noWrap w:val="0"/>
            <w:vAlign w:val="center"/>
          </w:tcPr>
          <w:p>
            <w:pPr>
              <w:spacing w:line="276" w:lineRule="auto"/>
              <w:rPr>
                <w:rFonts w:hint="eastAsia" w:ascii="仿宋" w:hAnsi="仿宋" w:eastAsia="仿宋" w:cs="仿宋"/>
                <w:color w:val="auto"/>
                <w:sz w:val="21"/>
                <w:szCs w:val="21"/>
                <w:highlight w:val="none"/>
              </w:rPr>
            </w:pP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电箱箱体无专用标志</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0.1</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-0.1</w:t>
            </w: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32" w:type="dxa"/>
            <w:vMerge w:val="continue"/>
            <w:noWrap w:val="0"/>
            <w:vAlign w:val="center"/>
          </w:tcPr>
          <w:p>
            <w:pPr>
              <w:spacing w:line="276" w:lineRule="auto"/>
              <w:rPr>
                <w:rFonts w:hint="eastAsia" w:ascii="仿宋" w:hAnsi="仿宋" w:eastAsia="仿宋" w:cs="仿宋"/>
                <w:color w:val="auto"/>
                <w:sz w:val="21"/>
                <w:szCs w:val="21"/>
                <w:highlight w:val="none"/>
              </w:rPr>
            </w:pP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设备箱体有破损（破损面达到20%）</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0.5</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832" w:type="dxa"/>
            <w:vMerge w:val="continue"/>
            <w:noWrap w:val="0"/>
            <w:vAlign w:val="center"/>
          </w:tcPr>
          <w:p>
            <w:pPr>
              <w:spacing w:line="276" w:lineRule="auto"/>
              <w:rPr>
                <w:rFonts w:hint="eastAsia" w:ascii="仿宋" w:hAnsi="仿宋" w:eastAsia="仿宋" w:cs="仿宋"/>
                <w:color w:val="auto"/>
                <w:sz w:val="21"/>
                <w:szCs w:val="21"/>
                <w:highlight w:val="none"/>
              </w:rPr>
            </w:pP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箱体有超过1/5锈蚀</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0.3</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832" w:type="dxa"/>
            <w:vMerge w:val="continue"/>
            <w:noWrap w:val="0"/>
            <w:vAlign w:val="center"/>
          </w:tcPr>
          <w:p>
            <w:pPr>
              <w:spacing w:line="276" w:lineRule="auto"/>
              <w:rPr>
                <w:rFonts w:hint="eastAsia" w:ascii="仿宋" w:hAnsi="仿宋" w:eastAsia="仿宋" w:cs="仿宋"/>
                <w:color w:val="auto"/>
                <w:sz w:val="21"/>
                <w:szCs w:val="21"/>
                <w:highlight w:val="none"/>
              </w:rPr>
            </w:pP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设备存在脱落、悬空</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0.5</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832" w:type="dxa"/>
            <w:vMerge w:val="continue"/>
            <w:noWrap w:val="0"/>
            <w:vAlign w:val="center"/>
          </w:tcPr>
          <w:p>
            <w:pPr>
              <w:spacing w:line="276" w:lineRule="auto"/>
              <w:rPr>
                <w:rFonts w:hint="eastAsia" w:ascii="仿宋" w:hAnsi="仿宋" w:eastAsia="仿宋" w:cs="仿宋"/>
                <w:color w:val="auto"/>
                <w:sz w:val="21"/>
                <w:szCs w:val="21"/>
                <w:highlight w:val="none"/>
              </w:rPr>
            </w:pP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设备存在其他安全隐患</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0.5</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832" w:type="dxa"/>
            <w:vMerge w:val="restart"/>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光源</w:t>
            </w: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每套灯具有超过1/5锈蚀、20%破损</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0.1</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-0.1</w:t>
            </w: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832" w:type="dxa"/>
            <w:vMerge w:val="continue"/>
            <w:noWrap w:val="0"/>
            <w:vAlign w:val="center"/>
          </w:tcPr>
          <w:p>
            <w:pPr>
              <w:spacing w:line="276" w:lineRule="auto"/>
              <w:rPr>
                <w:rFonts w:hint="eastAsia" w:ascii="仿宋" w:hAnsi="仿宋" w:eastAsia="仿宋" w:cs="仿宋"/>
                <w:color w:val="auto"/>
                <w:sz w:val="21"/>
                <w:szCs w:val="21"/>
                <w:highlight w:val="none"/>
              </w:rPr>
            </w:pP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灯具有脱落悬空</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832" w:type="dxa"/>
            <w:vMerge w:val="continue"/>
            <w:noWrap w:val="0"/>
            <w:vAlign w:val="center"/>
          </w:tcPr>
          <w:p>
            <w:pPr>
              <w:spacing w:line="276" w:lineRule="auto"/>
              <w:rPr>
                <w:rFonts w:hint="eastAsia" w:ascii="仿宋" w:hAnsi="仿宋" w:eastAsia="仿宋" w:cs="仿宋"/>
                <w:color w:val="auto"/>
                <w:sz w:val="21"/>
                <w:szCs w:val="21"/>
                <w:highlight w:val="none"/>
              </w:rPr>
            </w:pP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固定件松脱（松脱2圈及以上）</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0.3</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832" w:type="dxa"/>
            <w:vMerge w:val="continue"/>
            <w:noWrap w:val="0"/>
            <w:vAlign w:val="center"/>
          </w:tcPr>
          <w:p>
            <w:pPr>
              <w:spacing w:line="276" w:lineRule="auto"/>
              <w:rPr>
                <w:rFonts w:hint="eastAsia" w:ascii="仿宋" w:hAnsi="仿宋" w:eastAsia="仿宋" w:cs="仿宋"/>
                <w:color w:val="auto"/>
                <w:sz w:val="21"/>
                <w:szCs w:val="21"/>
                <w:highlight w:val="none"/>
              </w:rPr>
            </w:pP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固定件生锈（50%锈蚀面）</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0.1</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832" w:type="dxa"/>
            <w:vMerge w:val="continue"/>
            <w:noWrap w:val="0"/>
            <w:vAlign w:val="center"/>
          </w:tcPr>
          <w:p>
            <w:pPr>
              <w:spacing w:line="276" w:lineRule="auto"/>
              <w:rPr>
                <w:rFonts w:hint="eastAsia" w:ascii="仿宋" w:hAnsi="仿宋" w:eastAsia="仿宋" w:cs="仿宋"/>
                <w:color w:val="auto"/>
                <w:sz w:val="21"/>
                <w:szCs w:val="21"/>
                <w:highlight w:val="none"/>
              </w:rPr>
            </w:pP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灯具存在其他安全隐患</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0.2</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832" w:type="dxa"/>
            <w:vMerge w:val="restart"/>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管线</w:t>
            </w: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线管脱落悬空</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0.2</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832" w:type="dxa"/>
            <w:vMerge w:val="continue"/>
            <w:noWrap w:val="0"/>
            <w:vAlign w:val="center"/>
          </w:tcPr>
          <w:p>
            <w:pPr>
              <w:spacing w:line="276" w:lineRule="auto"/>
              <w:rPr>
                <w:rFonts w:hint="eastAsia" w:ascii="仿宋" w:hAnsi="仿宋" w:eastAsia="仿宋" w:cs="仿宋"/>
                <w:color w:val="auto"/>
                <w:sz w:val="21"/>
                <w:szCs w:val="21"/>
                <w:highlight w:val="none"/>
              </w:rPr>
            </w:pP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管线破裂、线缆外露</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0.1</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832" w:type="dxa"/>
            <w:vMerge w:val="continue"/>
            <w:noWrap w:val="0"/>
            <w:vAlign w:val="center"/>
          </w:tcPr>
          <w:p>
            <w:pPr>
              <w:spacing w:line="276" w:lineRule="auto"/>
              <w:rPr>
                <w:rFonts w:hint="eastAsia" w:ascii="仿宋" w:hAnsi="仿宋" w:eastAsia="仿宋" w:cs="仿宋"/>
                <w:color w:val="auto"/>
                <w:sz w:val="21"/>
                <w:szCs w:val="21"/>
                <w:highlight w:val="none"/>
              </w:rPr>
            </w:pP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线盒无排水孔，有积水</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0.1</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-0.1</w:t>
            </w: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-0.1</w:t>
            </w: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32" w:type="dxa"/>
            <w:vMerge w:val="continue"/>
            <w:noWrap w:val="0"/>
            <w:vAlign w:val="center"/>
          </w:tcPr>
          <w:p>
            <w:pPr>
              <w:spacing w:line="276" w:lineRule="auto"/>
              <w:rPr>
                <w:rFonts w:hint="eastAsia" w:ascii="仿宋" w:hAnsi="仿宋" w:eastAsia="仿宋" w:cs="仿宋"/>
                <w:color w:val="auto"/>
                <w:sz w:val="21"/>
                <w:szCs w:val="21"/>
                <w:highlight w:val="none"/>
              </w:rPr>
            </w:pP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线盒盖不完整</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0.1</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-0.1</w:t>
            </w: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-0.1</w:t>
            </w: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32" w:type="dxa"/>
            <w:vMerge w:val="restart"/>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控制器及开关电源</w:t>
            </w: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外观有超过1/5锈蚀</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0.3</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32" w:type="dxa"/>
            <w:vMerge w:val="continue"/>
            <w:noWrap w:val="0"/>
            <w:vAlign w:val="center"/>
          </w:tcPr>
          <w:p>
            <w:pPr>
              <w:spacing w:line="276" w:lineRule="auto"/>
              <w:rPr>
                <w:rFonts w:hint="eastAsia" w:ascii="仿宋" w:hAnsi="仿宋" w:eastAsia="仿宋" w:cs="仿宋"/>
                <w:color w:val="auto"/>
                <w:sz w:val="21"/>
                <w:szCs w:val="21"/>
                <w:highlight w:val="none"/>
              </w:rPr>
            </w:pP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控制器能否自动根据需要开合</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0.5</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832" w:type="dxa"/>
            <w:vMerge w:val="continue"/>
            <w:noWrap w:val="0"/>
            <w:vAlign w:val="center"/>
          </w:tcPr>
          <w:p>
            <w:pPr>
              <w:spacing w:line="276" w:lineRule="auto"/>
              <w:rPr>
                <w:rFonts w:hint="eastAsia" w:ascii="仿宋" w:hAnsi="仿宋" w:eastAsia="仿宋" w:cs="仿宋"/>
                <w:color w:val="auto"/>
                <w:sz w:val="21"/>
                <w:szCs w:val="21"/>
                <w:highlight w:val="none"/>
              </w:rPr>
            </w:pP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开关电源是否原规格替换，是否密封好</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0.5</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832" w:type="dxa"/>
            <w:vMerge w:val="restart"/>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其他</w:t>
            </w: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有漏电现象</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0.5</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32" w:type="dxa"/>
            <w:vMerge w:val="continue"/>
            <w:noWrap w:val="0"/>
            <w:vAlign w:val="center"/>
          </w:tcPr>
          <w:p>
            <w:pPr>
              <w:spacing w:line="276" w:lineRule="auto"/>
              <w:rPr>
                <w:rFonts w:hint="eastAsia" w:ascii="仿宋" w:hAnsi="仿宋" w:eastAsia="仿宋" w:cs="仿宋"/>
                <w:color w:val="auto"/>
                <w:sz w:val="21"/>
                <w:szCs w:val="21"/>
                <w:highlight w:val="none"/>
              </w:rPr>
            </w:pP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有未经批准的外接电</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32" w:type="dxa"/>
            <w:vMerge w:val="continue"/>
            <w:noWrap w:val="0"/>
            <w:vAlign w:val="center"/>
          </w:tcPr>
          <w:p>
            <w:pPr>
              <w:spacing w:line="276" w:lineRule="auto"/>
              <w:rPr>
                <w:rFonts w:hint="eastAsia" w:ascii="仿宋" w:hAnsi="仿宋" w:eastAsia="仿宋" w:cs="仿宋"/>
                <w:color w:val="auto"/>
                <w:sz w:val="21"/>
                <w:szCs w:val="21"/>
                <w:highlight w:val="none"/>
              </w:rPr>
            </w:pP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现场垃圾未及时清理</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0.1</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-0.1</w:t>
            </w: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-0.1</w:t>
            </w: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32" w:type="dxa"/>
            <w:vMerge w:val="continue"/>
            <w:noWrap w:val="0"/>
            <w:vAlign w:val="center"/>
          </w:tcPr>
          <w:p>
            <w:pPr>
              <w:spacing w:line="276" w:lineRule="auto"/>
              <w:rPr>
                <w:rFonts w:hint="eastAsia" w:ascii="仿宋" w:hAnsi="仿宋" w:eastAsia="仿宋" w:cs="仿宋"/>
                <w:color w:val="auto"/>
                <w:sz w:val="21"/>
                <w:szCs w:val="21"/>
                <w:highlight w:val="none"/>
              </w:rPr>
            </w:pP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城市照明管理部门</w:t>
            </w:r>
            <w:r>
              <w:rPr>
                <w:rFonts w:hint="eastAsia" w:ascii="仿宋" w:hAnsi="仿宋" w:eastAsia="仿宋" w:cs="仿宋"/>
                <w:color w:val="auto"/>
                <w:sz w:val="21"/>
                <w:szCs w:val="21"/>
                <w:highlight w:val="none"/>
                <w:lang w:val="en-US" w:eastAsia="zh-CN"/>
              </w:rPr>
              <w:t>或委托管理单位</w:t>
            </w:r>
            <w:r>
              <w:rPr>
                <w:rFonts w:hint="eastAsia" w:ascii="仿宋" w:hAnsi="仿宋" w:eastAsia="仿宋" w:cs="仿宋"/>
                <w:color w:val="auto"/>
                <w:sz w:val="21"/>
                <w:szCs w:val="21"/>
                <w:highlight w:val="none"/>
              </w:rPr>
              <w:t>提供的维护材料未用于本项目的</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832" w:type="dxa"/>
            <w:vMerge w:val="continue"/>
            <w:noWrap w:val="0"/>
            <w:vAlign w:val="center"/>
          </w:tcPr>
          <w:p>
            <w:pPr>
              <w:spacing w:line="276" w:lineRule="auto"/>
              <w:rPr>
                <w:rFonts w:hint="eastAsia" w:ascii="仿宋" w:hAnsi="仿宋" w:eastAsia="仿宋" w:cs="仿宋"/>
                <w:color w:val="auto"/>
                <w:sz w:val="21"/>
                <w:szCs w:val="21"/>
                <w:highlight w:val="none"/>
              </w:rPr>
            </w:pPr>
          </w:p>
        </w:tc>
        <w:tc>
          <w:tcPr>
            <w:tcW w:w="3666" w:type="dxa"/>
            <w:gridSpan w:val="2"/>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其他问题</w:t>
            </w:r>
          </w:p>
        </w:tc>
        <w:tc>
          <w:tcPr>
            <w:tcW w:w="1260" w:type="dxa"/>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0.2</w:t>
            </w:r>
          </w:p>
        </w:tc>
        <w:tc>
          <w:tcPr>
            <w:tcW w:w="117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40" w:type="dxa"/>
            <w:noWrap w:val="0"/>
            <w:vAlign w:val="center"/>
          </w:tcPr>
          <w:p>
            <w:pPr>
              <w:spacing w:line="276" w:lineRule="auto"/>
              <w:jc w:val="center"/>
              <w:rPr>
                <w:rFonts w:hint="eastAsia" w:ascii="仿宋" w:hAnsi="仿宋" w:eastAsia="仿宋" w:cs="仿宋"/>
                <w:color w:val="auto"/>
                <w:sz w:val="21"/>
                <w:szCs w:val="21"/>
                <w:highlight w:val="none"/>
              </w:rPr>
            </w:pPr>
          </w:p>
        </w:tc>
        <w:tc>
          <w:tcPr>
            <w:tcW w:w="1151" w:type="dxa"/>
            <w:noWrap w:val="0"/>
            <w:vAlign w:val="center"/>
          </w:tcPr>
          <w:p>
            <w:pPr>
              <w:spacing w:line="276"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318" w:type="dxa"/>
            <w:gridSpan w:val="2"/>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扣分合计</w:t>
            </w:r>
          </w:p>
        </w:tc>
        <w:tc>
          <w:tcPr>
            <w:tcW w:w="2180" w:type="dxa"/>
            <w:noWrap w:val="0"/>
            <w:vAlign w:val="center"/>
          </w:tcPr>
          <w:p>
            <w:pPr>
              <w:spacing w:line="276" w:lineRule="auto"/>
              <w:rPr>
                <w:rFonts w:hint="eastAsia" w:ascii="仿宋" w:hAnsi="仿宋" w:eastAsia="仿宋" w:cs="仿宋"/>
                <w:color w:val="auto"/>
                <w:sz w:val="21"/>
                <w:szCs w:val="21"/>
                <w:highlight w:val="none"/>
              </w:rPr>
            </w:pPr>
          </w:p>
        </w:tc>
        <w:tc>
          <w:tcPr>
            <w:tcW w:w="4721" w:type="dxa"/>
            <w:gridSpan w:val="4"/>
            <w:noWrap w:val="0"/>
            <w:vAlign w:val="center"/>
          </w:tcPr>
          <w:p>
            <w:pPr>
              <w:spacing w:line="276"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318" w:type="dxa"/>
            <w:gridSpan w:val="2"/>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维护企业</w:t>
            </w:r>
          </w:p>
        </w:tc>
        <w:tc>
          <w:tcPr>
            <w:tcW w:w="2180" w:type="dxa"/>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重庆广齐达市政工程有限公司</w:t>
            </w:r>
          </w:p>
        </w:tc>
        <w:tc>
          <w:tcPr>
            <w:tcW w:w="2430" w:type="dxa"/>
            <w:gridSpan w:val="2"/>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维护人</w:t>
            </w:r>
          </w:p>
        </w:tc>
        <w:tc>
          <w:tcPr>
            <w:tcW w:w="2291" w:type="dxa"/>
            <w:gridSpan w:val="2"/>
            <w:noWrap w:val="0"/>
            <w:vAlign w:val="center"/>
          </w:tcPr>
          <w:p>
            <w:pPr>
              <w:spacing w:line="276"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2318" w:type="dxa"/>
            <w:gridSpan w:val="2"/>
            <w:noWrap w:val="0"/>
            <w:vAlign w:val="center"/>
          </w:tcPr>
          <w:p>
            <w:pPr>
              <w:spacing w:line="276"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管理部门</w:t>
            </w:r>
            <w:r>
              <w:rPr>
                <w:rFonts w:hint="eastAsia" w:ascii="仿宋" w:hAnsi="仿宋" w:eastAsia="仿宋" w:cs="仿宋"/>
                <w:color w:val="auto"/>
                <w:sz w:val="21"/>
                <w:szCs w:val="21"/>
                <w:highlight w:val="none"/>
                <w:lang w:val="en-US" w:eastAsia="zh-CN"/>
              </w:rPr>
              <w:t>/单位</w:t>
            </w:r>
          </w:p>
        </w:tc>
        <w:tc>
          <w:tcPr>
            <w:tcW w:w="2180" w:type="dxa"/>
            <w:noWrap w:val="0"/>
            <w:vAlign w:val="center"/>
          </w:tcPr>
          <w:p>
            <w:pPr>
              <w:spacing w:line="276"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重庆山水城文化旅游发展有限公司</w:t>
            </w:r>
          </w:p>
        </w:tc>
        <w:tc>
          <w:tcPr>
            <w:tcW w:w="2430" w:type="dxa"/>
            <w:gridSpan w:val="2"/>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考核人</w:t>
            </w:r>
          </w:p>
        </w:tc>
        <w:tc>
          <w:tcPr>
            <w:tcW w:w="2291" w:type="dxa"/>
            <w:gridSpan w:val="2"/>
            <w:noWrap w:val="0"/>
            <w:vAlign w:val="center"/>
          </w:tcPr>
          <w:p>
            <w:pPr>
              <w:spacing w:line="276" w:lineRule="auto"/>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2318" w:type="dxa"/>
            <w:gridSpan w:val="2"/>
            <w:noWrap w:val="0"/>
            <w:vAlign w:val="center"/>
          </w:tcPr>
          <w:p>
            <w:pPr>
              <w:spacing w:line="276"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w:t>
            </w:r>
          </w:p>
        </w:tc>
        <w:tc>
          <w:tcPr>
            <w:tcW w:w="2180" w:type="dxa"/>
            <w:noWrap w:val="0"/>
            <w:vAlign w:val="center"/>
          </w:tcPr>
          <w:p>
            <w:pPr>
              <w:spacing w:line="276" w:lineRule="auto"/>
              <w:rPr>
                <w:rFonts w:hint="eastAsia" w:ascii="仿宋" w:hAnsi="仿宋" w:eastAsia="仿宋" w:cs="仿宋"/>
                <w:color w:val="auto"/>
                <w:sz w:val="21"/>
                <w:szCs w:val="21"/>
                <w:highlight w:val="none"/>
                <w:lang w:val="en-US" w:eastAsia="zh-CN"/>
              </w:rPr>
            </w:pPr>
            <w:r>
              <w:rPr>
                <w:rFonts w:hint="eastAsia" w:ascii="仿宋" w:hAnsi="仿宋" w:eastAsia="仿宋" w:cs="仿宋"/>
                <w:sz w:val="21"/>
                <w:szCs w:val="21"/>
                <w:highlight w:val="none"/>
                <w:lang w:val="en-US" w:eastAsia="zh-CN"/>
              </w:rPr>
              <w:t>2025年7月1日</w:t>
            </w:r>
          </w:p>
        </w:tc>
        <w:tc>
          <w:tcPr>
            <w:tcW w:w="4721" w:type="dxa"/>
            <w:gridSpan w:val="4"/>
            <w:noWrap w:val="0"/>
            <w:vAlign w:val="center"/>
          </w:tcPr>
          <w:p>
            <w:pPr>
              <w:spacing w:line="276" w:lineRule="auto"/>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9219" w:type="dxa"/>
            <w:gridSpan w:val="7"/>
            <w:noWrap w:val="0"/>
            <w:vAlign w:val="center"/>
          </w:tcPr>
          <w:p>
            <w:pPr>
              <w:spacing w:line="276" w:lineRule="auto"/>
              <w:ind w:left="480" w:hanging="420" w:hanging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注：每月随机抽取2栋建筑物设施进行考核，由城市照明管理部门</w:t>
            </w:r>
            <w:r>
              <w:rPr>
                <w:rFonts w:hint="eastAsia" w:ascii="仿宋" w:hAnsi="仿宋" w:eastAsia="仿宋" w:cs="仿宋"/>
                <w:color w:val="auto"/>
                <w:sz w:val="21"/>
                <w:szCs w:val="21"/>
                <w:highlight w:val="none"/>
                <w:lang w:val="en-US" w:eastAsia="zh-CN"/>
              </w:rPr>
              <w:t>或委托单位单位</w:t>
            </w:r>
            <w:r>
              <w:rPr>
                <w:rFonts w:hint="eastAsia" w:ascii="仿宋" w:hAnsi="仿宋" w:eastAsia="仿宋" w:cs="仿宋"/>
                <w:color w:val="auto"/>
                <w:sz w:val="21"/>
                <w:szCs w:val="21"/>
                <w:highlight w:val="none"/>
              </w:rPr>
              <w:t>填写，得分汇总至考核汇总表，本项最多扣30分。</w:t>
            </w:r>
          </w:p>
        </w:tc>
      </w:tr>
    </w:tbl>
    <w:p>
      <w:pPr>
        <w:keepNext/>
        <w:keepLines/>
        <w:spacing w:before="468" w:beforeLines="150" w:after="156" w:afterLines="50" w:line="360" w:lineRule="auto"/>
        <w:jc w:val="center"/>
        <w:outlineLvl w:val="1"/>
        <w:rPr>
          <w:rFonts w:hint="eastAsia" w:ascii="仿宋" w:hAnsi="仿宋" w:eastAsia="仿宋" w:cs="仿宋"/>
          <w:b/>
          <w:bCs/>
          <w:color w:val="auto"/>
          <w:sz w:val="28"/>
          <w:szCs w:val="32"/>
          <w:highlight w:val="none"/>
        </w:rPr>
      </w:pPr>
      <w:bookmarkStart w:id="22" w:name="_Toc519691725"/>
      <w:bookmarkStart w:id="23" w:name="_Toc500233901"/>
      <w:bookmarkStart w:id="24" w:name="_Toc532557302"/>
      <w:bookmarkStart w:id="25" w:name="_Toc513456692"/>
      <w:bookmarkStart w:id="26" w:name="_Toc497138338"/>
      <w:r>
        <w:rPr>
          <w:rFonts w:hint="eastAsia" w:ascii="仿宋" w:hAnsi="仿宋" w:eastAsia="仿宋" w:cs="仿宋"/>
          <w:b/>
          <w:bCs/>
          <w:color w:val="auto"/>
          <w:sz w:val="28"/>
          <w:szCs w:val="32"/>
          <w:highlight w:val="none"/>
        </w:rPr>
        <w:t>4  服务质量情况考核表</w:t>
      </w:r>
      <w:bookmarkEnd w:id="22"/>
      <w:bookmarkEnd w:id="23"/>
      <w:bookmarkEnd w:id="24"/>
      <w:bookmarkEnd w:id="25"/>
      <w:bookmarkEnd w:id="26"/>
    </w:p>
    <w:tbl>
      <w:tblPr>
        <w:tblStyle w:val="7"/>
        <w:tblW w:w="10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1543"/>
        <w:gridCol w:w="1386"/>
        <w:gridCol w:w="1807"/>
        <w:gridCol w:w="1299"/>
        <w:gridCol w:w="1850"/>
        <w:gridCol w:w="768"/>
        <w:gridCol w:w="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777" w:type="dxa"/>
            <w:noWrap w:val="0"/>
            <w:vAlign w:val="center"/>
          </w:tcPr>
          <w:p>
            <w:pPr>
              <w:jc w:val="center"/>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项目</w:t>
            </w:r>
          </w:p>
        </w:tc>
        <w:tc>
          <w:tcPr>
            <w:tcW w:w="2929" w:type="dxa"/>
            <w:gridSpan w:val="2"/>
            <w:noWrap w:val="0"/>
            <w:vAlign w:val="center"/>
          </w:tcPr>
          <w:p>
            <w:pPr>
              <w:jc w:val="center"/>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内容</w:t>
            </w:r>
          </w:p>
        </w:tc>
        <w:tc>
          <w:tcPr>
            <w:tcW w:w="4956" w:type="dxa"/>
            <w:gridSpan w:val="3"/>
            <w:noWrap w:val="0"/>
            <w:vAlign w:val="center"/>
          </w:tcPr>
          <w:p>
            <w:pPr>
              <w:jc w:val="center"/>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扣分标准</w:t>
            </w:r>
          </w:p>
        </w:tc>
        <w:tc>
          <w:tcPr>
            <w:tcW w:w="768" w:type="dxa"/>
            <w:noWrap w:val="0"/>
            <w:vAlign w:val="center"/>
          </w:tcPr>
          <w:p>
            <w:pPr>
              <w:jc w:val="center"/>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扣分说明</w:t>
            </w:r>
          </w:p>
        </w:tc>
        <w:tc>
          <w:tcPr>
            <w:tcW w:w="757" w:type="dxa"/>
            <w:noWrap w:val="0"/>
            <w:vAlign w:val="center"/>
          </w:tcPr>
          <w:p>
            <w:pPr>
              <w:jc w:val="center"/>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777" w:type="dxa"/>
            <w:vMerge w:val="restart"/>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应急抢修</w:t>
            </w:r>
          </w:p>
        </w:tc>
        <w:tc>
          <w:tcPr>
            <w:tcW w:w="2929" w:type="dxa"/>
            <w:gridSpan w:val="2"/>
            <w:vMerge w:val="restart"/>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发生事故或其他紧急情况，30分钟内到达现场，2小时内处理安全隐患。</w:t>
            </w:r>
          </w:p>
        </w:tc>
        <w:tc>
          <w:tcPr>
            <w:tcW w:w="4956" w:type="dxa"/>
            <w:gridSpan w:val="3"/>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超时限赶赴现场，每次扣0.3分</w:t>
            </w:r>
          </w:p>
        </w:tc>
        <w:tc>
          <w:tcPr>
            <w:tcW w:w="768" w:type="dxa"/>
            <w:noWrap w:val="0"/>
            <w:vAlign w:val="center"/>
          </w:tcPr>
          <w:p>
            <w:pPr>
              <w:jc w:val="center"/>
              <w:rPr>
                <w:rFonts w:hint="eastAsia" w:ascii="仿宋" w:hAnsi="仿宋" w:eastAsia="仿宋" w:cs="仿宋"/>
                <w:color w:val="auto"/>
                <w:kern w:val="0"/>
                <w:sz w:val="21"/>
                <w:szCs w:val="21"/>
                <w:highlight w:val="none"/>
              </w:rPr>
            </w:pPr>
          </w:p>
        </w:tc>
        <w:tc>
          <w:tcPr>
            <w:tcW w:w="757" w:type="dxa"/>
            <w:noWrap w:val="0"/>
            <w:vAlign w:val="center"/>
          </w:tcPr>
          <w:p>
            <w:pPr>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777" w:type="dxa"/>
            <w:vMerge w:val="continue"/>
            <w:noWrap w:val="0"/>
            <w:vAlign w:val="center"/>
          </w:tcPr>
          <w:p>
            <w:pPr>
              <w:jc w:val="center"/>
              <w:rPr>
                <w:rFonts w:hint="eastAsia" w:ascii="仿宋" w:hAnsi="仿宋" w:eastAsia="仿宋" w:cs="仿宋"/>
                <w:color w:val="auto"/>
                <w:kern w:val="0"/>
                <w:sz w:val="21"/>
                <w:szCs w:val="21"/>
                <w:highlight w:val="none"/>
              </w:rPr>
            </w:pPr>
          </w:p>
        </w:tc>
        <w:tc>
          <w:tcPr>
            <w:tcW w:w="2929" w:type="dxa"/>
            <w:gridSpan w:val="2"/>
            <w:vMerge w:val="continue"/>
            <w:noWrap w:val="0"/>
            <w:vAlign w:val="center"/>
          </w:tcPr>
          <w:p>
            <w:pPr>
              <w:jc w:val="center"/>
              <w:rPr>
                <w:rFonts w:hint="eastAsia" w:ascii="仿宋" w:hAnsi="仿宋" w:eastAsia="仿宋" w:cs="仿宋"/>
                <w:color w:val="auto"/>
                <w:kern w:val="0"/>
                <w:sz w:val="21"/>
                <w:szCs w:val="21"/>
                <w:highlight w:val="none"/>
              </w:rPr>
            </w:pPr>
          </w:p>
        </w:tc>
        <w:tc>
          <w:tcPr>
            <w:tcW w:w="4956" w:type="dxa"/>
            <w:gridSpan w:val="3"/>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超过处理时限的，每次扣1分</w:t>
            </w:r>
          </w:p>
        </w:tc>
        <w:tc>
          <w:tcPr>
            <w:tcW w:w="768" w:type="dxa"/>
            <w:noWrap w:val="0"/>
            <w:vAlign w:val="center"/>
          </w:tcPr>
          <w:p>
            <w:pPr>
              <w:jc w:val="center"/>
              <w:rPr>
                <w:rFonts w:hint="eastAsia" w:ascii="仿宋" w:hAnsi="仿宋" w:eastAsia="仿宋" w:cs="仿宋"/>
                <w:color w:val="auto"/>
                <w:kern w:val="0"/>
                <w:sz w:val="21"/>
                <w:szCs w:val="21"/>
                <w:highlight w:val="none"/>
              </w:rPr>
            </w:pPr>
          </w:p>
        </w:tc>
        <w:tc>
          <w:tcPr>
            <w:tcW w:w="757" w:type="dxa"/>
            <w:noWrap w:val="0"/>
            <w:vAlign w:val="center"/>
          </w:tcPr>
          <w:p>
            <w:pPr>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77" w:type="dxa"/>
            <w:vMerge w:val="continue"/>
            <w:noWrap w:val="0"/>
            <w:vAlign w:val="center"/>
          </w:tcPr>
          <w:p>
            <w:pPr>
              <w:jc w:val="center"/>
              <w:rPr>
                <w:rFonts w:hint="eastAsia" w:ascii="仿宋" w:hAnsi="仿宋" w:eastAsia="仿宋" w:cs="仿宋"/>
                <w:color w:val="auto"/>
                <w:kern w:val="0"/>
                <w:sz w:val="21"/>
                <w:szCs w:val="21"/>
                <w:highlight w:val="none"/>
              </w:rPr>
            </w:pPr>
          </w:p>
        </w:tc>
        <w:tc>
          <w:tcPr>
            <w:tcW w:w="2929" w:type="dxa"/>
            <w:gridSpan w:val="2"/>
            <w:vMerge w:val="continue"/>
            <w:noWrap w:val="0"/>
            <w:vAlign w:val="center"/>
          </w:tcPr>
          <w:p>
            <w:pPr>
              <w:jc w:val="center"/>
              <w:rPr>
                <w:rFonts w:hint="eastAsia" w:ascii="仿宋" w:hAnsi="仿宋" w:eastAsia="仿宋" w:cs="仿宋"/>
                <w:color w:val="auto"/>
                <w:kern w:val="0"/>
                <w:sz w:val="21"/>
                <w:szCs w:val="21"/>
                <w:highlight w:val="none"/>
              </w:rPr>
            </w:pPr>
          </w:p>
        </w:tc>
        <w:tc>
          <w:tcPr>
            <w:tcW w:w="4956" w:type="dxa"/>
            <w:gridSpan w:val="3"/>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受到上级批评或媒体曝光，扣3分</w:t>
            </w:r>
          </w:p>
        </w:tc>
        <w:tc>
          <w:tcPr>
            <w:tcW w:w="768" w:type="dxa"/>
            <w:noWrap w:val="0"/>
            <w:vAlign w:val="center"/>
          </w:tcPr>
          <w:p>
            <w:pPr>
              <w:jc w:val="center"/>
              <w:rPr>
                <w:rFonts w:hint="eastAsia" w:ascii="仿宋" w:hAnsi="仿宋" w:eastAsia="仿宋" w:cs="仿宋"/>
                <w:color w:val="auto"/>
                <w:kern w:val="0"/>
                <w:sz w:val="21"/>
                <w:szCs w:val="21"/>
                <w:highlight w:val="none"/>
              </w:rPr>
            </w:pPr>
          </w:p>
        </w:tc>
        <w:tc>
          <w:tcPr>
            <w:tcW w:w="757" w:type="dxa"/>
            <w:noWrap w:val="0"/>
            <w:vAlign w:val="center"/>
          </w:tcPr>
          <w:p>
            <w:pPr>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7" w:hRule="atLeast"/>
          <w:jc w:val="center"/>
        </w:trPr>
        <w:tc>
          <w:tcPr>
            <w:tcW w:w="777" w:type="dxa"/>
            <w:vMerge w:val="restart"/>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故障报修</w:t>
            </w:r>
          </w:p>
        </w:tc>
        <w:tc>
          <w:tcPr>
            <w:tcW w:w="2929" w:type="dxa"/>
            <w:gridSpan w:val="2"/>
            <w:vMerge w:val="restart"/>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发生重大故障报修时，1小时内到达现场，</w:t>
            </w:r>
            <w:r>
              <w:rPr>
                <w:rFonts w:hint="eastAsia" w:ascii="仿宋" w:hAnsi="仿宋" w:eastAsia="仿宋" w:cs="仿宋"/>
                <w:color w:val="auto"/>
                <w:sz w:val="21"/>
                <w:szCs w:val="21"/>
                <w:highlight w:val="none"/>
              </w:rPr>
              <w:t>城市主干路、快速路照明系统系故障及单灯故障24小时恢复亮灯</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其它路段照明系统系故障及单灯故障48小时恢复亮灯</w:t>
            </w:r>
            <w:r>
              <w:rPr>
                <w:rFonts w:hint="eastAsia" w:ascii="仿宋" w:hAnsi="仿宋" w:eastAsia="仿宋" w:cs="仿宋"/>
                <w:color w:val="auto"/>
                <w:kern w:val="0"/>
                <w:sz w:val="21"/>
                <w:szCs w:val="21"/>
                <w:highlight w:val="none"/>
              </w:rPr>
              <w:t>。</w:t>
            </w:r>
          </w:p>
        </w:tc>
        <w:tc>
          <w:tcPr>
            <w:tcW w:w="4956" w:type="dxa"/>
            <w:gridSpan w:val="3"/>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超时限赶赴现场，每次扣0.6分</w:t>
            </w:r>
          </w:p>
        </w:tc>
        <w:tc>
          <w:tcPr>
            <w:tcW w:w="768" w:type="dxa"/>
            <w:noWrap w:val="0"/>
            <w:vAlign w:val="center"/>
          </w:tcPr>
          <w:p>
            <w:pPr>
              <w:jc w:val="center"/>
              <w:rPr>
                <w:rFonts w:hint="eastAsia" w:ascii="仿宋" w:hAnsi="仿宋" w:eastAsia="仿宋" w:cs="仿宋"/>
                <w:color w:val="auto"/>
                <w:kern w:val="0"/>
                <w:sz w:val="21"/>
                <w:szCs w:val="21"/>
                <w:highlight w:val="none"/>
              </w:rPr>
            </w:pPr>
          </w:p>
        </w:tc>
        <w:tc>
          <w:tcPr>
            <w:tcW w:w="757" w:type="dxa"/>
            <w:noWrap w:val="0"/>
            <w:vAlign w:val="center"/>
          </w:tcPr>
          <w:p>
            <w:pPr>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1" w:hRule="atLeast"/>
          <w:jc w:val="center"/>
        </w:trPr>
        <w:tc>
          <w:tcPr>
            <w:tcW w:w="777" w:type="dxa"/>
            <w:vMerge w:val="continue"/>
            <w:noWrap w:val="0"/>
            <w:vAlign w:val="center"/>
          </w:tcPr>
          <w:p>
            <w:pPr>
              <w:jc w:val="center"/>
              <w:rPr>
                <w:rFonts w:hint="eastAsia" w:ascii="仿宋" w:hAnsi="仿宋" w:eastAsia="仿宋" w:cs="仿宋"/>
                <w:color w:val="auto"/>
                <w:kern w:val="0"/>
                <w:sz w:val="21"/>
                <w:szCs w:val="21"/>
                <w:highlight w:val="none"/>
              </w:rPr>
            </w:pPr>
          </w:p>
        </w:tc>
        <w:tc>
          <w:tcPr>
            <w:tcW w:w="2929" w:type="dxa"/>
            <w:gridSpan w:val="2"/>
            <w:vMerge w:val="continue"/>
            <w:noWrap w:val="0"/>
            <w:vAlign w:val="center"/>
          </w:tcPr>
          <w:p>
            <w:pPr>
              <w:jc w:val="center"/>
              <w:rPr>
                <w:rFonts w:hint="eastAsia" w:ascii="仿宋" w:hAnsi="仿宋" w:eastAsia="仿宋" w:cs="仿宋"/>
                <w:color w:val="auto"/>
                <w:kern w:val="0"/>
                <w:sz w:val="21"/>
                <w:szCs w:val="21"/>
                <w:highlight w:val="none"/>
              </w:rPr>
            </w:pPr>
          </w:p>
        </w:tc>
        <w:tc>
          <w:tcPr>
            <w:tcW w:w="4956" w:type="dxa"/>
            <w:gridSpan w:val="3"/>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超过处理时限的，每次扣2分</w:t>
            </w:r>
          </w:p>
        </w:tc>
        <w:tc>
          <w:tcPr>
            <w:tcW w:w="768" w:type="dxa"/>
            <w:noWrap w:val="0"/>
            <w:vAlign w:val="center"/>
          </w:tcPr>
          <w:p>
            <w:pPr>
              <w:jc w:val="center"/>
              <w:rPr>
                <w:rFonts w:hint="eastAsia" w:ascii="仿宋" w:hAnsi="仿宋" w:eastAsia="仿宋" w:cs="仿宋"/>
                <w:color w:val="auto"/>
                <w:kern w:val="0"/>
                <w:sz w:val="21"/>
                <w:szCs w:val="21"/>
                <w:highlight w:val="none"/>
              </w:rPr>
            </w:pPr>
          </w:p>
        </w:tc>
        <w:tc>
          <w:tcPr>
            <w:tcW w:w="757" w:type="dxa"/>
            <w:noWrap w:val="0"/>
            <w:vAlign w:val="center"/>
          </w:tcPr>
          <w:p>
            <w:pPr>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77" w:type="dxa"/>
            <w:vMerge w:val="continue"/>
            <w:noWrap w:val="0"/>
            <w:vAlign w:val="center"/>
          </w:tcPr>
          <w:p>
            <w:pPr>
              <w:jc w:val="center"/>
              <w:rPr>
                <w:rFonts w:hint="eastAsia" w:ascii="仿宋" w:hAnsi="仿宋" w:eastAsia="仿宋" w:cs="仿宋"/>
                <w:color w:val="auto"/>
                <w:kern w:val="0"/>
                <w:sz w:val="21"/>
                <w:szCs w:val="21"/>
                <w:highlight w:val="none"/>
              </w:rPr>
            </w:pPr>
          </w:p>
        </w:tc>
        <w:tc>
          <w:tcPr>
            <w:tcW w:w="2929" w:type="dxa"/>
            <w:gridSpan w:val="2"/>
            <w:vMerge w:val="continue"/>
            <w:noWrap w:val="0"/>
            <w:vAlign w:val="center"/>
          </w:tcPr>
          <w:p>
            <w:pPr>
              <w:jc w:val="center"/>
              <w:rPr>
                <w:rFonts w:hint="eastAsia" w:ascii="仿宋" w:hAnsi="仿宋" w:eastAsia="仿宋" w:cs="仿宋"/>
                <w:color w:val="auto"/>
                <w:kern w:val="0"/>
                <w:sz w:val="21"/>
                <w:szCs w:val="21"/>
                <w:highlight w:val="none"/>
              </w:rPr>
            </w:pPr>
          </w:p>
        </w:tc>
        <w:tc>
          <w:tcPr>
            <w:tcW w:w="4956" w:type="dxa"/>
            <w:gridSpan w:val="3"/>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受到上级批评或媒体曝光，扣3分</w:t>
            </w:r>
          </w:p>
        </w:tc>
        <w:tc>
          <w:tcPr>
            <w:tcW w:w="768" w:type="dxa"/>
            <w:noWrap w:val="0"/>
            <w:vAlign w:val="center"/>
          </w:tcPr>
          <w:p>
            <w:pPr>
              <w:jc w:val="center"/>
              <w:rPr>
                <w:rFonts w:hint="eastAsia" w:ascii="仿宋" w:hAnsi="仿宋" w:eastAsia="仿宋" w:cs="仿宋"/>
                <w:color w:val="auto"/>
                <w:kern w:val="0"/>
                <w:sz w:val="21"/>
                <w:szCs w:val="21"/>
                <w:highlight w:val="none"/>
              </w:rPr>
            </w:pPr>
          </w:p>
        </w:tc>
        <w:tc>
          <w:tcPr>
            <w:tcW w:w="757" w:type="dxa"/>
            <w:noWrap w:val="0"/>
            <w:vAlign w:val="center"/>
          </w:tcPr>
          <w:p>
            <w:pPr>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777" w:type="dxa"/>
            <w:vMerge w:val="restart"/>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材料匹配</w:t>
            </w:r>
          </w:p>
        </w:tc>
        <w:tc>
          <w:tcPr>
            <w:tcW w:w="2929" w:type="dxa"/>
            <w:gridSpan w:val="2"/>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使用投标时承诺的材料品牌</w:t>
            </w:r>
          </w:p>
        </w:tc>
        <w:tc>
          <w:tcPr>
            <w:tcW w:w="4956" w:type="dxa"/>
            <w:gridSpan w:val="3"/>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不符合的，每处每次扣2分。（同一处，可多次扣分。）</w:t>
            </w:r>
          </w:p>
        </w:tc>
        <w:tc>
          <w:tcPr>
            <w:tcW w:w="768" w:type="dxa"/>
            <w:noWrap w:val="0"/>
            <w:vAlign w:val="center"/>
          </w:tcPr>
          <w:p>
            <w:pPr>
              <w:jc w:val="center"/>
              <w:rPr>
                <w:rFonts w:hint="eastAsia" w:ascii="仿宋" w:hAnsi="仿宋" w:eastAsia="仿宋" w:cs="仿宋"/>
                <w:color w:val="auto"/>
                <w:kern w:val="0"/>
                <w:sz w:val="21"/>
                <w:szCs w:val="21"/>
                <w:highlight w:val="none"/>
              </w:rPr>
            </w:pPr>
          </w:p>
        </w:tc>
        <w:tc>
          <w:tcPr>
            <w:tcW w:w="757" w:type="dxa"/>
            <w:noWrap w:val="0"/>
            <w:vAlign w:val="center"/>
          </w:tcPr>
          <w:p>
            <w:pPr>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77" w:type="dxa"/>
            <w:vMerge w:val="continue"/>
            <w:noWrap w:val="0"/>
            <w:vAlign w:val="center"/>
          </w:tcPr>
          <w:p>
            <w:pPr>
              <w:jc w:val="center"/>
              <w:rPr>
                <w:rFonts w:hint="eastAsia" w:ascii="仿宋" w:hAnsi="仿宋" w:eastAsia="仿宋" w:cs="仿宋"/>
                <w:color w:val="auto"/>
                <w:kern w:val="0"/>
                <w:sz w:val="21"/>
                <w:szCs w:val="21"/>
                <w:highlight w:val="none"/>
              </w:rPr>
            </w:pPr>
          </w:p>
        </w:tc>
        <w:tc>
          <w:tcPr>
            <w:tcW w:w="2929" w:type="dxa"/>
            <w:gridSpan w:val="2"/>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未明确品牌的材料，需城市照明管理部门</w:t>
            </w:r>
            <w:r>
              <w:rPr>
                <w:rFonts w:hint="eastAsia" w:ascii="仿宋" w:hAnsi="仿宋" w:eastAsia="仿宋" w:cs="仿宋"/>
                <w:color w:val="auto"/>
                <w:kern w:val="0"/>
                <w:sz w:val="21"/>
                <w:szCs w:val="21"/>
                <w:highlight w:val="none"/>
                <w:lang w:val="en-US" w:eastAsia="zh-CN"/>
              </w:rPr>
              <w:t>或委托管理单位</w:t>
            </w:r>
            <w:r>
              <w:rPr>
                <w:rFonts w:hint="eastAsia" w:ascii="仿宋" w:hAnsi="仿宋" w:eastAsia="仿宋" w:cs="仿宋"/>
                <w:color w:val="auto"/>
                <w:kern w:val="0"/>
                <w:sz w:val="21"/>
                <w:szCs w:val="21"/>
                <w:highlight w:val="none"/>
              </w:rPr>
              <w:t>确认后，方可使用</w:t>
            </w:r>
          </w:p>
        </w:tc>
        <w:tc>
          <w:tcPr>
            <w:tcW w:w="4956" w:type="dxa"/>
            <w:gridSpan w:val="3"/>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使用未经确认材料，每次每处扣1分。（同一处，可多次扣分。）</w:t>
            </w:r>
          </w:p>
        </w:tc>
        <w:tc>
          <w:tcPr>
            <w:tcW w:w="768" w:type="dxa"/>
            <w:noWrap w:val="0"/>
            <w:vAlign w:val="center"/>
          </w:tcPr>
          <w:p>
            <w:pPr>
              <w:jc w:val="center"/>
              <w:rPr>
                <w:rFonts w:hint="eastAsia" w:ascii="仿宋" w:hAnsi="仿宋" w:eastAsia="仿宋" w:cs="仿宋"/>
                <w:color w:val="auto"/>
                <w:kern w:val="0"/>
                <w:sz w:val="21"/>
                <w:szCs w:val="21"/>
                <w:highlight w:val="none"/>
              </w:rPr>
            </w:pPr>
          </w:p>
        </w:tc>
        <w:tc>
          <w:tcPr>
            <w:tcW w:w="757" w:type="dxa"/>
            <w:noWrap w:val="0"/>
            <w:vAlign w:val="center"/>
          </w:tcPr>
          <w:p>
            <w:pPr>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777" w:type="dxa"/>
            <w:vMerge w:val="restart"/>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每日巡查</w:t>
            </w:r>
          </w:p>
        </w:tc>
        <w:tc>
          <w:tcPr>
            <w:tcW w:w="2929" w:type="dxa"/>
            <w:gridSpan w:val="2"/>
            <w:vMerge w:val="restart"/>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每日对设施进行巡查</w:t>
            </w:r>
          </w:p>
        </w:tc>
        <w:tc>
          <w:tcPr>
            <w:tcW w:w="4956" w:type="dxa"/>
            <w:gridSpan w:val="3"/>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每月上报巡灯记录，未按时上报，扣0.5分；</w:t>
            </w:r>
          </w:p>
        </w:tc>
        <w:tc>
          <w:tcPr>
            <w:tcW w:w="768" w:type="dxa"/>
            <w:noWrap w:val="0"/>
            <w:vAlign w:val="center"/>
          </w:tcPr>
          <w:p>
            <w:pPr>
              <w:jc w:val="center"/>
              <w:rPr>
                <w:rFonts w:hint="eastAsia" w:ascii="仿宋" w:hAnsi="仿宋" w:eastAsia="仿宋" w:cs="仿宋"/>
                <w:color w:val="auto"/>
                <w:kern w:val="0"/>
                <w:sz w:val="21"/>
                <w:szCs w:val="21"/>
                <w:highlight w:val="none"/>
              </w:rPr>
            </w:pPr>
          </w:p>
        </w:tc>
        <w:tc>
          <w:tcPr>
            <w:tcW w:w="757" w:type="dxa"/>
            <w:noWrap w:val="0"/>
            <w:vAlign w:val="center"/>
          </w:tcPr>
          <w:p>
            <w:pPr>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5" w:hRule="atLeast"/>
          <w:jc w:val="center"/>
        </w:trPr>
        <w:tc>
          <w:tcPr>
            <w:tcW w:w="777" w:type="dxa"/>
            <w:vMerge w:val="continue"/>
            <w:noWrap w:val="0"/>
            <w:vAlign w:val="center"/>
          </w:tcPr>
          <w:p>
            <w:pPr>
              <w:jc w:val="center"/>
              <w:rPr>
                <w:rFonts w:hint="eastAsia" w:ascii="仿宋" w:hAnsi="仿宋" w:eastAsia="仿宋" w:cs="仿宋"/>
                <w:color w:val="auto"/>
                <w:kern w:val="0"/>
                <w:sz w:val="21"/>
                <w:szCs w:val="21"/>
                <w:highlight w:val="none"/>
              </w:rPr>
            </w:pPr>
          </w:p>
        </w:tc>
        <w:tc>
          <w:tcPr>
            <w:tcW w:w="2929" w:type="dxa"/>
            <w:gridSpan w:val="2"/>
            <w:vMerge w:val="continue"/>
            <w:noWrap w:val="0"/>
            <w:vAlign w:val="center"/>
          </w:tcPr>
          <w:p>
            <w:pPr>
              <w:jc w:val="center"/>
              <w:rPr>
                <w:rFonts w:hint="eastAsia" w:ascii="仿宋" w:hAnsi="仿宋" w:eastAsia="仿宋" w:cs="仿宋"/>
                <w:color w:val="auto"/>
                <w:kern w:val="0"/>
                <w:sz w:val="21"/>
                <w:szCs w:val="21"/>
                <w:highlight w:val="none"/>
              </w:rPr>
            </w:pPr>
          </w:p>
        </w:tc>
        <w:tc>
          <w:tcPr>
            <w:tcW w:w="4956" w:type="dxa"/>
            <w:gridSpan w:val="3"/>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未按要求每周巡灯或未对设施进行巡查的，每周扣1分。</w:t>
            </w:r>
          </w:p>
        </w:tc>
        <w:tc>
          <w:tcPr>
            <w:tcW w:w="768" w:type="dxa"/>
            <w:noWrap w:val="0"/>
            <w:vAlign w:val="center"/>
          </w:tcPr>
          <w:p>
            <w:pPr>
              <w:jc w:val="center"/>
              <w:rPr>
                <w:rFonts w:hint="eastAsia" w:ascii="仿宋" w:hAnsi="仿宋" w:eastAsia="仿宋" w:cs="仿宋"/>
                <w:color w:val="auto"/>
                <w:kern w:val="0"/>
                <w:sz w:val="21"/>
                <w:szCs w:val="21"/>
                <w:highlight w:val="none"/>
              </w:rPr>
            </w:pPr>
          </w:p>
        </w:tc>
        <w:tc>
          <w:tcPr>
            <w:tcW w:w="757" w:type="dxa"/>
            <w:noWrap w:val="0"/>
            <w:vAlign w:val="center"/>
          </w:tcPr>
          <w:p>
            <w:pPr>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jc w:val="center"/>
        </w:trPr>
        <w:tc>
          <w:tcPr>
            <w:tcW w:w="777" w:type="dxa"/>
            <w:vMerge w:val="restart"/>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投拆处理</w:t>
            </w:r>
          </w:p>
        </w:tc>
        <w:tc>
          <w:tcPr>
            <w:tcW w:w="2929" w:type="dxa"/>
            <w:gridSpan w:val="2"/>
            <w:vMerge w:val="restart"/>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及时受理投诉,处理结果及时回复</w:t>
            </w:r>
          </w:p>
        </w:tc>
        <w:tc>
          <w:tcPr>
            <w:tcW w:w="4956" w:type="dxa"/>
            <w:gridSpan w:val="3"/>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在规定时间内未处理完毕的每次扣1分；</w:t>
            </w:r>
          </w:p>
        </w:tc>
        <w:tc>
          <w:tcPr>
            <w:tcW w:w="768" w:type="dxa"/>
            <w:noWrap w:val="0"/>
            <w:vAlign w:val="center"/>
          </w:tcPr>
          <w:p>
            <w:pPr>
              <w:jc w:val="center"/>
              <w:rPr>
                <w:rFonts w:hint="eastAsia" w:ascii="仿宋" w:hAnsi="仿宋" w:eastAsia="仿宋" w:cs="仿宋"/>
                <w:color w:val="auto"/>
                <w:kern w:val="0"/>
                <w:sz w:val="21"/>
                <w:szCs w:val="21"/>
                <w:highlight w:val="none"/>
              </w:rPr>
            </w:pPr>
          </w:p>
        </w:tc>
        <w:tc>
          <w:tcPr>
            <w:tcW w:w="757" w:type="dxa"/>
            <w:noWrap w:val="0"/>
            <w:vAlign w:val="center"/>
          </w:tcPr>
          <w:p>
            <w:pPr>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777" w:type="dxa"/>
            <w:vMerge w:val="continue"/>
            <w:noWrap w:val="0"/>
            <w:vAlign w:val="center"/>
          </w:tcPr>
          <w:p>
            <w:pPr>
              <w:jc w:val="center"/>
              <w:rPr>
                <w:rFonts w:hint="eastAsia" w:ascii="仿宋" w:hAnsi="仿宋" w:eastAsia="仿宋" w:cs="仿宋"/>
                <w:color w:val="auto"/>
                <w:kern w:val="0"/>
                <w:sz w:val="21"/>
                <w:szCs w:val="21"/>
                <w:highlight w:val="none"/>
              </w:rPr>
            </w:pPr>
          </w:p>
        </w:tc>
        <w:tc>
          <w:tcPr>
            <w:tcW w:w="2929" w:type="dxa"/>
            <w:gridSpan w:val="2"/>
            <w:vMerge w:val="continue"/>
            <w:noWrap w:val="0"/>
            <w:vAlign w:val="center"/>
          </w:tcPr>
          <w:p>
            <w:pPr>
              <w:jc w:val="center"/>
              <w:rPr>
                <w:rFonts w:hint="eastAsia" w:ascii="仿宋" w:hAnsi="仿宋" w:eastAsia="仿宋" w:cs="仿宋"/>
                <w:color w:val="auto"/>
                <w:kern w:val="0"/>
                <w:sz w:val="21"/>
                <w:szCs w:val="21"/>
                <w:highlight w:val="none"/>
              </w:rPr>
            </w:pPr>
          </w:p>
        </w:tc>
        <w:tc>
          <w:tcPr>
            <w:tcW w:w="4956" w:type="dxa"/>
            <w:gridSpan w:val="3"/>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未妥善处理,一个月内再次受到有效投诉的，每次扣1分。</w:t>
            </w:r>
          </w:p>
        </w:tc>
        <w:tc>
          <w:tcPr>
            <w:tcW w:w="768" w:type="dxa"/>
            <w:noWrap w:val="0"/>
            <w:vAlign w:val="center"/>
          </w:tcPr>
          <w:p>
            <w:pPr>
              <w:jc w:val="center"/>
              <w:rPr>
                <w:rFonts w:hint="eastAsia" w:ascii="仿宋" w:hAnsi="仿宋" w:eastAsia="仿宋" w:cs="仿宋"/>
                <w:color w:val="auto"/>
                <w:kern w:val="0"/>
                <w:sz w:val="21"/>
                <w:szCs w:val="21"/>
                <w:highlight w:val="none"/>
              </w:rPr>
            </w:pPr>
          </w:p>
        </w:tc>
        <w:tc>
          <w:tcPr>
            <w:tcW w:w="757" w:type="dxa"/>
            <w:noWrap w:val="0"/>
            <w:vAlign w:val="center"/>
          </w:tcPr>
          <w:p>
            <w:pPr>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777" w:type="dxa"/>
            <w:vMerge w:val="continue"/>
            <w:noWrap w:val="0"/>
            <w:vAlign w:val="center"/>
          </w:tcPr>
          <w:p>
            <w:pPr>
              <w:jc w:val="center"/>
              <w:rPr>
                <w:rFonts w:hint="eastAsia" w:ascii="仿宋" w:hAnsi="仿宋" w:eastAsia="仿宋" w:cs="仿宋"/>
                <w:color w:val="auto"/>
                <w:kern w:val="0"/>
                <w:sz w:val="21"/>
                <w:szCs w:val="21"/>
                <w:highlight w:val="none"/>
              </w:rPr>
            </w:pPr>
          </w:p>
        </w:tc>
        <w:tc>
          <w:tcPr>
            <w:tcW w:w="2929" w:type="dxa"/>
            <w:gridSpan w:val="2"/>
            <w:vMerge w:val="continue"/>
            <w:noWrap w:val="0"/>
            <w:vAlign w:val="center"/>
          </w:tcPr>
          <w:p>
            <w:pPr>
              <w:jc w:val="center"/>
              <w:rPr>
                <w:rFonts w:hint="eastAsia" w:ascii="仿宋" w:hAnsi="仿宋" w:eastAsia="仿宋" w:cs="仿宋"/>
                <w:color w:val="auto"/>
                <w:kern w:val="0"/>
                <w:sz w:val="21"/>
                <w:szCs w:val="21"/>
                <w:highlight w:val="none"/>
              </w:rPr>
            </w:pPr>
          </w:p>
        </w:tc>
        <w:tc>
          <w:tcPr>
            <w:tcW w:w="4956" w:type="dxa"/>
            <w:gridSpan w:val="3"/>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处理完毕，未及时回复的，每次扣0.5分。</w:t>
            </w:r>
          </w:p>
        </w:tc>
        <w:tc>
          <w:tcPr>
            <w:tcW w:w="768" w:type="dxa"/>
            <w:noWrap w:val="0"/>
            <w:vAlign w:val="center"/>
          </w:tcPr>
          <w:p>
            <w:pPr>
              <w:jc w:val="center"/>
              <w:rPr>
                <w:rFonts w:hint="eastAsia" w:ascii="仿宋" w:hAnsi="仿宋" w:eastAsia="仿宋" w:cs="仿宋"/>
                <w:color w:val="auto"/>
                <w:kern w:val="0"/>
                <w:sz w:val="21"/>
                <w:szCs w:val="21"/>
                <w:highlight w:val="none"/>
              </w:rPr>
            </w:pPr>
          </w:p>
        </w:tc>
        <w:tc>
          <w:tcPr>
            <w:tcW w:w="757" w:type="dxa"/>
            <w:noWrap w:val="0"/>
            <w:vAlign w:val="center"/>
          </w:tcPr>
          <w:p>
            <w:pPr>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777" w:type="dxa"/>
            <w:vMerge w:val="restart"/>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迎检任务</w:t>
            </w:r>
          </w:p>
        </w:tc>
        <w:tc>
          <w:tcPr>
            <w:tcW w:w="2929" w:type="dxa"/>
            <w:gridSpan w:val="2"/>
            <w:vMerge w:val="restart"/>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高水平完成迎检任务</w:t>
            </w:r>
          </w:p>
        </w:tc>
        <w:tc>
          <w:tcPr>
            <w:tcW w:w="4956" w:type="dxa"/>
            <w:gridSpan w:val="3"/>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出现问题未及时整改，每次扣3分；</w:t>
            </w:r>
          </w:p>
        </w:tc>
        <w:tc>
          <w:tcPr>
            <w:tcW w:w="768" w:type="dxa"/>
            <w:noWrap w:val="0"/>
            <w:vAlign w:val="center"/>
          </w:tcPr>
          <w:p>
            <w:pPr>
              <w:jc w:val="center"/>
              <w:rPr>
                <w:rFonts w:hint="eastAsia" w:ascii="仿宋" w:hAnsi="仿宋" w:eastAsia="仿宋" w:cs="仿宋"/>
                <w:color w:val="auto"/>
                <w:kern w:val="0"/>
                <w:sz w:val="21"/>
                <w:szCs w:val="21"/>
                <w:highlight w:val="none"/>
              </w:rPr>
            </w:pPr>
          </w:p>
        </w:tc>
        <w:tc>
          <w:tcPr>
            <w:tcW w:w="757" w:type="dxa"/>
            <w:noWrap w:val="0"/>
            <w:vAlign w:val="center"/>
          </w:tcPr>
          <w:p>
            <w:pPr>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4" w:hRule="atLeast"/>
          <w:jc w:val="center"/>
        </w:trPr>
        <w:tc>
          <w:tcPr>
            <w:tcW w:w="777" w:type="dxa"/>
            <w:vMerge w:val="continue"/>
            <w:noWrap w:val="0"/>
            <w:vAlign w:val="center"/>
          </w:tcPr>
          <w:p>
            <w:pPr>
              <w:jc w:val="center"/>
              <w:rPr>
                <w:rFonts w:hint="eastAsia" w:ascii="仿宋" w:hAnsi="仿宋" w:eastAsia="仿宋" w:cs="仿宋"/>
                <w:color w:val="auto"/>
                <w:kern w:val="0"/>
                <w:sz w:val="21"/>
                <w:szCs w:val="21"/>
                <w:highlight w:val="none"/>
              </w:rPr>
            </w:pPr>
          </w:p>
        </w:tc>
        <w:tc>
          <w:tcPr>
            <w:tcW w:w="2929" w:type="dxa"/>
            <w:gridSpan w:val="2"/>
            <w:vMerge w:val="continue"/>
            <w:noWrap w:val="0"/>
            <w:vAlign w:val="center"/>
          </w:tcPr>
          <w:p>
            <w:pPr>
              <w:jc w:val="center"/>
              <w:rPr>
                <w:rFonts w:hint="eastAsia" w:ascii="仿宋" w:hAnsi="仿宋" w:eastAsia="仿宋" w:cs="仿宋"/>
                <w:color w:val="auto"/>
                <w:kern w:val="0"/>
                <w:sz w:val="21"/>
                <w:szCs w:val="21"/>
                <w:highlight w:val="none"/>
              </w:rPr>
            </w:pPr>
          </w:p>
        </w:tc>
        <w:tc>
          <w:tcPr>
            <w:tcW w:w="4956" w:type="dxa"/>
            <w:gridSpan w:val="3"/>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受到上级领导批评或媒体曝光的，每次扣5分；</w:t>
            </w:r>
          </w:p>
        </w:tc>
        <w:tc>
          <w:tcPr>
            <w:tcW w:w="768" w:type="dxa"/>
            <w:noWrap w:val="0"/>
            <w:vAlign w:val="center"/>
          </w:tcPr>
          <w:p>
            <w:pPr>
              <w:jc w:val="center"/>
              <w:rPr>
                <w:rFonts w:hint="eastAsia" w:ascii="仿宋" w:hAnsi="仿宋" w:eastAsia="仿宋" w:cs="仿宋"/>
                <w:color w:val="auto"/>
                <w:kern w:val="0"/>
                <w:sz w:val="21"/>
                <w:szCs w:val="21"/>
                <w:highlight w:val="none"/>
              </w:rPr>
            </w:pPr>
          </w:p>
        </w:tc>
        <w:tc>
          <w:tcPr>
            <w:tcW w:w="757" w:type="dxa"/>
            <w:noWrap w:val="0"/>
            <w:vAlign w:val="center"/>
          </w:tcPr>
          <w:p>
            <w:pPr>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77" w:type="dxa"/>
            <w:vMerge w:val="restart"/>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设施量统计更新</w:t>
            </w:r>
          </w:p>
        </w:tc>
        <w:tc>
          <w:tcPr>
            <w:tcW w:w="2929" w:type="dxa"/>
            <w:gridSpan w:val="2"/>
            <w:vMerge w:val="restart"/>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建立景观照明设施量统计表,及时更新</w:t>
            </w:r>
          </w:p>
        </w:tc>
        <w:tc>
          <w:tcPr>
            <w:tcW w:w="4956" w:type="dxa"/>
            <w:gridSpan w:val="3"/>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景观照明设施量统计不准确或未更新的每发现一处或一次扣1分。</w:t>
            </w:r>
          </w:p>
        </w:tc>
        <w:tc>
          <w:tcPr>
            <w:tcW w:w="768" w:type="dxa"/>
            <w:noWrap w:val="0"/>
            <w:vAlign w:val="center"/>
          </w:tcPr>
          <w:p>
            <w:pPr>
              <w:jc w:val="center"/>
              <w:rPr>
                <w:rFonts w:hint="eastAsia" w:ascii="仿宋" w:hAnsi="仿宋" w:eastAsia="仿宋" w:cs="仿宋"/>
                <w:color w:val="auto"/>
                <w:kern w:val="0"/>
                <w:sz w:val="21"/>
                <w:szCs w:val="21"/>
                <w:highlight w:val="none"/>
              </w:rPr>
            </w:pPr>
          </w:p>
        </w:tc>
        <w:tc>
          <w:tcPr>
            <w:tcW w:w="757" w:type="dxa"/>
            <w:noWrap w:val="0"/>
            <w:vAlign w:val="center"/>
          </w:tcPr>
          <w:p>
            <w:pPr>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77" w:type="dxa"/>
            <w:vMerge w:val="continue"/>
            <w:noWrap w:val="0"/>
            <w:vAlign w:val="center"/>
          </w:tcPr>
          <w:p>
            <w:pPr>
              <w:jc w:val="center"/>
              <w:rPr>
                <w:rFonts w:hint="eastAsia" w:ascii="仿宋" w:hAnsi="仿宋" w:eastAsia="仿宋" w:cs="仿宋"/>
                <w:color w:val="auto"/>
                <w:kern w:val="0"/>
                <w:sz w:val="21"/>
                <w:szCs w:val="21"/>
                <w:highlight w:val="none"/>
              </w:rPr>
            </w:pPr>
          </w:p>
        </w:tc>
        <w:tc>
          <w:tcPr>
            <w:tcW w:w="2929" w:type="dxa"/>
            <w:gridSpan w:val="2"/>
            <w:vMerge w:val="continue"/>
            <w:noWrap w:val="0"/>
            <w:vAlign w:val="center"/>
          </w:tcPr>
          <w:p>
            <w:pPr>
              <w:jc w:val="center"/>
              <w:rPr>
                <w:rFonts w:hint="eastAsia" w:ascii="仿宋" w:hAnsi="仿宋" w:eastAsia="仿宋" w:cs="仿宋"/>
                <w:color w:val="auto"/>
                <w:kern w:val="0"/>
                <w:sz w:val="21"/>
                <w:szCs w:val="21"/>
                <w:highlight w:val="none"/>
              </w:rPr>
            </w:pPr>
          </w:p>
        </w:tc>
        <w:tc>
          <w:tcPr>
            <w:tcW w:w="4956" w:type="dxa"/>
            <w:gridSpan w:val="3"/>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最后一个月未完成景观照明设施总表编制的，最后一个月扣5分。</w:t>
            </w:r>
          </w:p>
        </w:tc>
        <w:tc>
          <w:tcPr>
            <w:tcW w:w="768" w:type="dxa"/>
            <w:noWrap w:val="0"/>
            <w:vAlign w:val="center"/>
          </w:tcPr>
          <w:p>
            <w:pPr>
              <w:jc w:val="center"/>
              <w:rPr>
                <w:rFonts w:hint="eastAsia" w:ascii="仿宋" w:hAnsi="仿宋" w:eastAsia="仿宋" w:cs="仿宋"/>
                <w:color w:val="auto"/>
                <w:kern w:val="0"/>
                <w:sz w:val="21"/>
                <w:szCs w:val="21"/>
                <w:highlight w:val="none"/>
              </w:rPr>
            </w:pPr>
          </w:p>
        </w:tc>
        <w:tc>
          <w:tcPr>
            <w:tcW w:w="757" w:type="dxa"/>
            <w:noWrap w:val="0"/>
            <w:vAlign w:val="center"/>
          </w:tcPr>
          <w:p>
            <w:pPr>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77" w:type="dxa"/>
            <w:vMerge w:val="restart"/>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配合度</w:t>
            </w:r>
          </w:p>
        </w:tc>
        <w:tc>
          <w:tcPr>
            <w:tcW w:w="2929" w:type="dxa"/>
            <w:gridSpan w:val="2"/>
            <w:vMerge w:val="restart"/>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积极配合城市照明管理部门</w:t>
            </w:r>
            <w:r>
              <w:rPr>
                <w:rFonts w:hint="eastAsia" w:ascii="仿宋" w:hAnsi="仿宋" w:eastAsia="仿宋" w:cs="仿宋"/>
                <w:color w:val="auto"/>
                <w:kern w:val="0"/>
                <w:sz w:val="21"/>
                <w:szCs w:val="21"/>
                <w:highlight w:val="none"/>
                <w:lang w:val="en-US" w:eastAsia="zh-CN"/>
              </w:rPr>
              <w:t>或委托管理单位</w:t>
            </w:r>
            <w:r>
              <w:rPr>
                <w:rFonts w:hint="eastAsia" w:ascii="仿宋" w:hAnsi="仿宋" w:eastAsia="仿宋" w:cs="仿宋"/>
                <w:color w:val="auto"/>
                <w:kern w:val="0"/>
                <w:sz w:val="21"/>
                <w:szCs w:val="21"/>
                <w:highlight w:val="none"/>
              </w:rPr>
              <w:t>指定的工作</w:t>
            </w:r>
          </w:p>
        </w:tc>
        <w:tc>
          <w:tcPr>
            <w:tcW w:w="4956" w:type="dxa"/>
            <w:gridSpan w:val="3"/>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城市照明管理部门</w:t>
            </w:r>
            <w:r>
              <w:rPr>
                <w:rFonts w:hint="eastAsia" w:ascii="仿宋" w:hAnsi="仿宋" w:eastAsia="仿宋" w:cs="仿宋"/>
                <w:color w:val="auto"/>
                <w:kern w:val="0"/>
                <w:sz w:val="21"/>
                <w:szCs w:val="21"/>
                <w:highlight w:val="none"/>
                <w:lang w:val="en-US" w:eastAsia="zh-CN"/>
              </w:rPr>
              <w:t>或委托管理单位</w:t>
            </w:r>
            <w:r>
              <w:rPr>
                <w:rFonts w:hint="eastAsia" w:ascii="仿宋" w:hAnsi="仿宋" w:eastAsia="仿宋" w:cs="仿宋"/>
                <w:color w:val="auto"/>
                <w:kern w:val="0"/>
                <w:sz w:val="21"/>
                <w:szCs w:val="21"/>
                <w:highlight w:val="none"/>
              </w:rPr>
              <w:t>安排的其他工作，未能按时按质按量完成的，每次扣1分；</w:t>
            </w:r>
          </w:p>
        </w:tc>
        <w:tc>
          <w:tcPr>
            <w:tcW w:w="768" w:type="dxa"/>
            <w:noWrap w:val="0"/>
            <w:vAlign w:val="center"/>
          </w:tcPr>
          <w:p>
            <w:pPr>
              <w:jc w:val="center"/>
              <w:rPr>
                <w:rFonts w:hint="eastAsia" w:ascii="仿宋" w:hAnsi="仿宋" w:eastAsia="仿宋" w:cs="仿宋"/>
                <w:color w:val="auto"/>
                <w:kern w:val="0"/>
                <w:sz w:val="21"/>
                <w:szCs w:val="21"/>
                <w:highlight w:val="none"/>
              </w:rPr>
            </w:pPr>
          </w:p>
        </w:tc>
        <w:tc>
          <w:tcPr>
            <w:tcW w:w="757" w:type="dxa"/>
            <w:noWrap w:val="0"/>
            <w:vAlign w:val="center"/>
          </w:tcPr>
          <w:p>
            <w:pPr>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777" w:type="dxa"/>
            <w:vMerge w:val="continue"/>
            <w:noWrap w:val="0"/>
            <w:vAlign w:val="center"/>
          </w:tcPr>
          <w:p>
            <w:pPr>
              <w:jc w:val="center"/>
              <w:rPr>
                <w:rFonts w:hint="eastAsia" w:ascii="仿宋" w:hAnsi="仿宋" w:eastAsia="仿宋" w:cs="仿宋"/>
                <w:color w:val="auto"/>
                <w:kern w:val="0"/>
                <w:sz w:val="21"/>
                <w:szCs w:val="21"/>
                <w:highlight w:val="none"/>
              </w:rPr>
            </w:pPr>
          </w:p>
        </w:tc>
        <w:tc>
          <w:tcPr>
            <w:tcW w:w="2929" w:type="dxa"/>
            <w:gridSpan w:val="2"/>
            <w:vMerge w:val="continue"/>
            <w:noWrap w:val="0"/>
            <w:vAlign w:val="center"/>
          </w:tcPr>
          <w:p>
            <w:pPr>
              <w:jc w:val="center"/>
              <w:rPr>
                <w:rFonts w:hint="eastAsia" w:ascii="仿宋" w:hAnsi="仿宋" w:eastAsia="仿宋" w:cs="仿宋"/>
                <w:color w:val="auto"/>
                <w:kern w:val="0"/>
                <w:sz w:val="21"/>
                <w:szCs w:val="21"/>
                <w:highlight w:val="none"/>
              </w:rPr>
            </w:pPr>
          </w:p>
        </w:tc>
        <w:tc>
          <w:tcPr>
            <w:tcW w:w="4956" w:type="dxa"/>
            <w:gridSpan w:val="3"/>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巡查时，不按规定提供车辆的，每次扣1分；</w:t>
            </w:r>
          </w:p>
        </w:tc>
        <w:tc>
          <w:tcPr>
            <w:tcW w:w="768" w:type="dxa"/>
            <w:noWrap w:val="0"/>
            <w:vAlign w:val="center"/>
          </w:tcPr>
          <w:p>
            <w:pPr>
              <w:jc w:val="center"/>
              <w:rPr>
                <w:rFonts w:hint="eastAsia" w:ascii="仿宋" w:hAnsi="仿宋" w:eastAsia="仿宋" w:cs="仿宋"/>
                <w:color w:val="auto"/>
                <w:kern w:val="0"/>
                <w:sz w:val="21"/>
                <w:szCs w:val="21"/>
                <w:highlight w:val="none"/>
              </w:rPr>
            </w:pPr>
          </w:p>
        </w:tc>
        <w:tc>
          <w:tcPr>
            <w:tcW w:w="757" w:type="dxa"/>
            <w:noWrap w:val="0"/>
            <w:vAlign w:val="center"/>
          </w:tcPr>
          <w:p>
            <w:pPr>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8" w:hRule="atLeast"/>
          <w:jc w:val="center"/>
        </w:trPr>
        <w:tc>
          <w:tcPr>
            <w:tcW w:w="777" w:type="dxa"/>
            <w:vMerge w:val="continue"/>
            <w:noWrap w:val="0"/>
            <w:vAlign w:val="center"/>
          </w:tcPr>
          <w:p>
            <w:pPr>
              <w:jc w:val="center"/>
              <w:rPr>
                <w:rFonts w:hint="eastAsia" w:ascii="仿宋" w:hAnsi="仿宋" w:eastAsia="仿宋" w:cs="仿宋"/>
                <w:color w:val="auto"/>
                <w:kern w:val="0"/>
                <w:sz w:val="21"/>
                <w:szCs w:val="21"/>
                <w:highlight w:val="none"/>
              </w:rPr>
            </w:pPr>
          </w:p>
        </w:tc>
        <w:tc>
          <w:tcPr>
            <w:tcW w:w="2929" w:type="dxa"/>
            <w:gridSpan w:val="2"/>
            <w:vMerge w:val="continue"/>
            <w:noWrap w:val="0"/>
            <w:vAlign w:val="center"/>
          </w:tcPr>
          <w:p>
            <w:pPr>
              <w:jc w:val="center"/>
              <w:rPr>
                <w:rFonts w:hint="eastAsia" w:ascii="仿宋" w:hAnsi="仿宋" w:eastAsia="仿宋" w:cs="仿宋"/>
                <w:color w:val="auto"/>
                <w:kern w:val="0"/>
                <w:sz w:val="21"/>
                <w:szCs w:val="21"/>
                <w:highlight w:val="none"/>
              </w:rPr>
            </w:pPr>
          </w:p>
        </w:tc>
        <w:tc>
          <w:tcPr>
            <w:tcW w:w="4956" w:type="dxa"/>
            <w:gridSpan w:val="3"/>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不配合城市照明管理部门</w:t>
            </w:r>
            <w:r>
              <w:rPr>
                <w:rFonts w:hint="eastAsia" w:ascii="仿宋" w:hAnsi="仿宋" w:eastAsia="仿宋" w:cs="仿宋"/>
                <w:color w:val="auto"/>
                <w:kern w:val="0"/>
                <w:sz w:val="21"/>
                <w:szCs w:val="21"/>
                <w:highlight w:val="none"/>
                <w:lang w:val="en-US" w:eastAsia="zh-CN"/>
              </w:rPr>
              <w:t>或委托管理单位</w:t>
            </w:r>
            <w:r>
              <w:rPr>
                <w:rFonts w:hint="eastAsia" w:ascii="仿宋" w:hAnsi="仿宋" w:eastAsia="仿宋" w:cs="仿宋"/>
                <w:color w:val="auto"/>
                <w:kern w:val="0"/>
                <w:sz w:val="21"/>
                <w:szCs w:val="21"/>
                <w:highlight w:val="none"/>
              </w:rPr>
              <w:t>工作的，每次扣3分。</w:t>
            </w:r>
          </w:p>
        </w:tc>
        <w:tc>
          <w:tcPr>
            <w:tcW w:w="768" w:type="dxa"/>
            <w:noWrap w:val="0"/>
            <w:vAlign w:val="center"/>
          </w:tcPr>
          <w:p>
            <w:pPr>
              <w:jc w:val="center"/>
              <w:rPr>
                <w:rFonts w:hint="eastAsia" w:ascii="仿宋" w:hAnsi="仿宋" w:eastAsia="仿宋" w:cs="仿宋"/>
                <w:color w:val="auto"/>
                <w:kern w:val="0"/>
                <w:sz w:val="21"/>
                <w:szCs w:val="21"/>
                <w:highlight w:val="none"/>
              </w:rPr>
            </w:pPr>
          </w:p>
        </w:tc>
        <w:tc>
          <w:tcPr>
            <w:tcW w:w="757" w:type="dxa"/>
            <w:noWrap w:val="0"/>
            <w:vAlign w:val="center"/>
          </w:tcPr>
          <w:p>
            <w:pPr>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777" w:type="dxa"/>
            <w:noWrap w:val="0"/>
            <w:vAlign w:val="center"/>
          </w:tcPr>
          <w:p>
            <w:pPr>
              <w:jc w:val="center"/>
              <w:rPr>
                <w:rFonts w:hint="eastAsia" w:ascii="仿宋" w:hAnsi="仿宋" w:eastAsia="仿宋" w:cs="仿宋"/>
                <w:color w:val="auto"/>
                <w:kern w:val="0"/>
                <w:sz w:val="21"/>
                <w:szCs w:val="21"/>
                <w:highlight w:val="none"/>
              </w:rPr>
            </w:pPr>
          </w:p>
        </w:tc>
        <w:tc>
          <w:tcPr>
            <w:tcW w:w="2929" w:type="dxa"/>
            <w:gridSpan w:val="2"/>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扣分合计</w:t>
            </w:r>
          </w:p>
        </w:tc>
        <w:tc>
          <w:tcPr>
            <w:tcW w:w="4956" w:type="dxa"/>
            <w:gridSpan w:val="3"/>
            <w:noWrap w:val="0"/>
            <w:vAlign w:val="center"/>
          </w:tcPr>
          <w:p>
            <w:pPr>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w:t>
            </w:r>
          </w:p>
        </w:tc>
        <w:tc>
          <w:tcPr>
            <w:tcW w:w="1525" w:type="dxa"/>
            <w:gridSpan w:val="2"/>
            <w:noWrap w:val="0"/>
            <w:vAlign w:val="center"/>
          </w:tcPr>
          <w:p>
            <w:pPr>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3" w:hRule="atLeast"/>
          <w:jc w:val="center"/>
        </w:trPr>
        <w:tc>
          <w:tcPr>
            <w:tcW w:w="2320" w:type="dxa"/>
            <w:gridSpan w:val="2"/>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维护企业</w:t>
            </w:r>
          </w:p>
        </w:tc>
        <w:tc>
          <w:tcPr>
            <w:tcW w:w="3193" w:type="dxa"/>
            <w:gridSpan w:val="2"/>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sz w:val="21"/>
                <w:szCs w:val="21"/>
                <w:highlight w:val="none"/>
                <w:lang w:val="en-US" w:eastAsia="zh-CN"/>
              </w:rPr>
              <w:t>重庆广齐达市政工程有限公司</w:t>
            </w:r>
          </w:p>
        </w:tc>
        <w:tc>
          <w:tcPr>
            <w:tcW w:w="1299" w:type="dxa"/>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维护人</w:t>
            </w:r>
          </w:p>
        </w:tc>
        <w:tc>
          <w:tcPr>
            <w:tcW w:w="3375" w:type="dxa"/>
            <w:gridSpan w:val="3"/>
            <w:noWrap w:val="0"/>
            <w:vAlign w:val="center"/>
          </w:tcPr>
          <w:p>
            <w:pPr>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2320" w:type="dxa"/>
            <w:gridSpan w:val="2"/>
            <w:noWrap w:val="0"/>
            <w:vAlign w:val="center"/>
          </w:tcPr>
          <w:p>
            <w:pPr>
              <w:jc w:val="center"/>
              <w:rPr>
                <w:rFonts w:hint="default"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管理部门</w:t>
            </w:r>
            <w:r>
              <w:rPr>
                <w:rFonts w:hint="eastAsia" w:ascii="仿宋" w:hAnsi="仿宋" w:eastAsia="仿宋" w:cs="仿宋"/>
                <w:color w:val="auto"/>
                <w:kern w:val="0"/>
                <w:sz w:val="21"/>
                <w:szCs w:val="21"/>
                <w:highlight w:val="none"/>
                <w:lang w:val="en-US" w:eastAsia="zh-CN"/>
              </w:rPr>
              <w:t>/单位</w:t>
            </w:r>
          </w:p>
        </w:tc>
        <w:tc>
          <w:tcPr>
            <w:tcW w:w="3193" w:type="dxa"/>
            <w:gridSpan w:val="2"/>
            <w:noWrap w:val="0"/>
            <w:vAlign w:val="center"/>
          </w:tcPr>
          <w:p>
            <w:pPr>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重庆山水城文化旅游发展</w:t>
            </w:r>
          </w:p>
          <w:p>
            <w:pPr>
              <w:jc w:val="center"/>
              <w:rPr>
                <w:rFonts w:hint="eastAsia" w:ascii="仿宋" w:hAnsi="仿宋" w:eastAsia="仿宋" w:cs="仿宋"/>
                <w:color w:val="auto"/>
                <w:kern w:val="0"/>
                <w:sz w:val="21"/>
                <w:szCs w:val="21"/>
                <w:highlight w:val="none"/>
              </w:rPr>
            </w:pPr>
            <w:r>
              <w:rPr>
                <w:rFonts w:hint="eastAsia" w:ascii="仿宋" w:hAnsi="仿宋" w:eastAsia="仿宋" w:cs="仿宋"/>
                <w:sz w:val="21"/>
                <w:szCs w:val="21"/>
                <w:highlight w:val="none"/>
                <w:lang w:val="en-US" w:eastAsia="zh-CN"/>
              </w:rPr>
              <w:t>有限公司</w:t>
            </w:r>
          </w:p>
        </w:tc>
        <w:tc>
          <w:tcPr>
            <w:tcW w:w="1299" w:type="dxa"/>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考核人</w:t>
            </w:r>
          </w:p>
        </w:tc>
        <w:tc>
          <w:tcPr>
            <w:tcW w:w="3375" w:type="dxa"/>
            <w:gridSpan w:val="3"/>
            <w:noWrap w:val="0"/>
            <w:vAlign w:val="center"/>
          </w:tcPr>
          <w:p>
            <w:pPr>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320" w:type="dxa"/>
            <w:gridSpan w:val="2"/>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日期</w:t>
            </w:r>
          </w:p>
        </w:tc>
        <w:tc>
          <w:tcPr>
            <w:tcW w:w="3193" w:type="dxa"/>
            <w:gridSpan w:val="2"/>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sz w:val="21"/>
                <w:szCs w:val="21"/>
                <w:highlight w:val="none"/>
                <w:lang w:val="en-US" w:eastAsia="zh-CN"/>
              </w:rPr>
              <w:t>2025年7月1日</w:t>
            </w:r>
          </w:p>
        </w:tc>
        <w:tc>
          <w:tcPr>
            <w:tcW w:w="1299" w:type="dxa"/>
            <w:noWrap w:val="0"/>
            <w:vAlign w:val="center"/>
          </w:tcPr>
          <w:p>
            <w:pPr>
              <w:jc w:val="center"/>
              <w:rPr>
                <w:rFonts w:hint="eastAsia" w:ascii="仿宋" w:hAnsi="仿宋" w:eastAsia="仿宋" w:cs="仿宋"/>
                <w:color w:val="auto"/>
                <w:kern w:val="0"/>
                <w:sz w:val="21"/>
                <w:szCs w:val="21"/>
                <w:highlight w:val="none"/>
              </w:rPr>
            </w:pPr>
          </w:p>
        </w:tc>
        <w:tc>
          <w:tcPr>
            <w:tcW w:w="3375" w:type="dxa"/>
            <w:gridSpan w:val="3"/>
            <w:noWrap w:val="0"/>
            <w:vAlign w:val="center"/>
          </w:tcPr>
          <w:p>
            <w:pPr>
              <w:jc w:val="center"/>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0187" w:type="dxa"/>
            <w:gridSpan w:val="8"/>
            <w:noWrap w:val="0"/>
            <w:vAlign w:val="center"/>
          </w:tcPr>
          <w:p>
            <w:pPr>
              <w:spacing w:line="276" w:lineRule="auto"/>
              <w:ind w:left="480" w:hanging="420" w:hangingChars="20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注：城市照明管理部门</w:t>
            </w:r>
            <w:r>
              <w:rPr>
                <w:rFonts w:hint="eastAsia" w:ascii="仿宋" w:hAnsi="仿宋" w:eastAsia="仿宋" w:cs="仿宋"/>
                <w:color w:val="auto"/>
                <w:kern w:val="0"/>
                <w:sz w:val="21"/>
                <w:szCs w:val="21"/>
                <w:highlight w:val="none"/>
                <w:lang w:val="en-US" w:eastAsia="zh-CN"/>
              </w:rPr>
              <w:t>或委托管理单位</w:t>
            </w:r>
            <w:r>
              <w:rPr>
                <w:rFonts w:hint="eastAsia" w:ascii="仿宋" w:hAnsi="仿宋" w:eastAsia="仿宋" w:cs="仿宋"/>
                <w:color w:val="auto"/>
                <w:kern w:val="0"/>
                <w:sz w:val="21"/>
                <w:szCs w:val="21"/>
                <w:highlight w:val="none"/>
              </w:rPr>
              <w:t>每月对维护企业的服务质量进行测评汇总。得分计入考核汇总表，</w:t>
            </w:r>
            <w:r>
              <w:rPr>
                <w:rFonts w:hint="eastAsia" w:ascii="仿宋" w:hAnsi="仿宋" w:eastAsia="仿宋" w:cs="仿宋"/>
                <w:color w:val="auto"/>
                <w:sz w:val="21"/>
                <w:szCs w:val="21"/>
                <w:highlight w:val="none"/>
              </w:rPr>
              <w:t>本项</w:t>
            </w:r>
            <w:r>
              <w:rPr>
                <w:rFonts w:hint="eastAsia" w:ascii="仿宋" w:hAnsi="仿宋" w:eastAsia="仿宋" w:cs="仿宋"/>
                <w:color w:val="auto"/>
                <w:kern w:val="0"/>
                <w:sz w:val="21"/>
                <w:szCs w:val="21"/>
                <w:highlight w:val="none"/>
              </w:rPr>
              <w:t>最多扣15分。</w:t>
            </w:r>
          </w:p>
        </w:tc>
      </w:tr>
    </w:tbl>
    <w:p>
      <w:pPr>
        <w:keepNext/>
        <w:keepLines/>
        <w:spacing w:before="468" w:beforeLines="150" w:after="156" w:afterLines="50" w:line="360" w:lineRule="auto"/>
        <w:jc w:val="center"/>
        <w:outlineLvl w:val="1"/>
        <w:rPr>
          <w:rFonts w:hint="eastAsia" w:ascii="仿宋" w:hAnsi="仿宋" w:eastAsia="仿宋" w:cs="仿宋"/>
          <w:b/>
          <w:bCs/>
          <w:color w:val="auto"/>
          <w:sz w:val="28"/>
          <w:szCs w:val="32"/>
          <w:highlight w:val="none"/>
        </w:rPr>
      </w:pPr>
      <w:bookmarkStart w:id="27" w:name="_Toc500233902"/>
      <w:bookmarkStart w:id="28" w:name="_Toc497138339"/>
      <w:bookmarkStart w:id="29" w:name="_Toc519691726"/>
      <w:bookmarkStart w:id="30" w:name="_Toc513456693"/>
      <w:bookmarkStart w:id="31" w:name="_Toc532557303"/>
      <w:r>
        <w:rPr>
          <w:rFonts w:hint="eastAsia" w:ascii="仿宋" w:hAnsi="仿宋" w:eastAsia="仿宋" w:cs="仿宋"/>
          <w:b/>
          <w:bCs/>
          <w:color w:val="auto"/>
          <w:sz w:val="28"/>
          <w:szCs w:val="32"/>
          <w:highlight w:val="none"/>
        </w:rPr>
        <w:t>5  安全文明施工考核表</w:t>
      </w:r>
      <w:bookmarkEnd w:id="27"/>
      <w:bookmarkEnd w:id="28"/>
      <w:bookmarkEnd w:id="29"/>
      <w:bookmarkEnd w:id="30"/>
      <w:bookmarkEnd w:id="31"/>
    </w:p>
    <w:tbl>
      <w:tblPr>
        <w:tblStyle w:val="7"/>
        <w:tblW w:w="9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1477"/>
        <w:gridCol w:w="3699"/>
        <w:gridCol w:w="1725"/>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122" w:type="dxa"/>
            <w:noWrap w:val="0"/>
            <w:vAlign w:val="center"/>
          </w:tcPr>
          <w:p>
            <w:pPr>
              <w:spacing w:line="276" w:lineRule="auto"/>
              <w:jc w:val="center"/>
              <w:rPr>
                <w:rFonts w:hint="eastAsia" w:ascii="仿宋" w:hAnsi="仿宋" w:eastAsia="仿宋" w:cs="仿宋"/>
                <w:b/>
                <w:color w:val="auto"/>
                <w:kern w:val="0"/>
                <w:sz w:val="28"/>
                <w:szCs w:val="21"/>
                <w:highlight w:val="none"/>
              </w:rPr>
            </w:pPr>
            <w:r>
              <w:rPr>
                <w:rFonts w:hint="eastAsia" w:ascii="仿宋" w:hAnsi="仿宋" w:eastAsia="仿宋" w:cs="仿宋"/>
                <w:b/>
                <w:color w:val="auto"/>
                <w:kern w:val="0"/>
                <w:sz w:val="28"/>
                <w:szCs w:val="21"/>
                <w:highlight w:val="none"/>
              </w:rPr>
              <w:t>项目</w:t>
            </w:r>
          </w:p>
        </w:tc>
        <w:tc>
          <w:tcPr>
            <w:tcW w:w="1477" w:type="dxa"/>
            <w:noWrap w:val="0"/>
            <w:vAlign w:val="center"/>
          </w:tcPr>
          <w:p>
            <w:pPr>
              <w:spacing w:line="276" w:lineRule="auto"/>
              <w:jc w:val="center"/>
              <w:rPr>
                <w:rFonts w:hint="eastAsia" w:ascii="仿宋" w:hAnsi="仿宋" w:eastAsia="仿宋" w:cs="仿宋"/>
                <w:b/>
                <w:color w:val="auto"/>
                <w:kern w:val="0"/>
                <w:sz w:val="28"/>
                <w:szCs w:val="21"/>
                <w:highlight w:val="none"/>
              </w:rPr>
            </w:pPr>
            <w:r>
              <w:rPr>
                <w:rFonts w:hint="eastAsia" w:ascii="仿宋" w:hAnsi="仿宋" w:eastAsia="仿宋" w:cs="仿宋"/>
                <w:b/>
                <w:color w:val="auto"/>
                <w:kern w:val="0"/>
                <w:sz w:val="28"/>
                <w:szCs w:val="21"/>
                <w:highlight w:val="none"/>
              </w:rPr>
              <w:t>内容</w:t>
            </w:r>
          </w:p>
        </w:tc>
        <w:tc>
          <w:tcPr>
            <w:tcW w:w="3699" w:type="dxa"/>
            <w:noWrap w:val="0"/>
            <w:vAlign w:val="center"/>
          </w:tcPr>
          <w:p>
            <w:pPr>
              <w:spacing w:line="276" w:lineRule="auto"/>
              <w:jc w:val="center"/>
              <w:rPr>
                <w:rFonts w:hint="eastAsia" w:ascii="仿宋" w:hAnsi="仿宋" w:eastAsia="仿宋" w:cs="仿宋"/>
                <w:b/>
                <w:color w:val="auto"/>
                <w:kern w:val="0"/>
                <w:sz w:val="28"/>
                <w:szCs w:val="21"/>
                <w:highlight w:val="none"/>
              </w:rPr>
            </w:pPr>
            <w:r>
              <w:rPr>
                <w:rFonts w:hint="eastAsia" w:ascii="仿宋" w:hAnsi="仿宋" w:eastAsia="仿宋" w:cs="仿宋"/>
                <w:b/>
                <w:color w:val="auto"/>
                <w:kern w:val="0"/>
                <w:sz w:val="28"/>
                <w:szCs w:val="21"/>
                <w:highlight w:val="none"/>
              </w:rPr>
              <w:t>扣分标准</w:t>
            </w:r>
          </w:p>
        </w:tc>
        <w:tc>
          <w:tcPr>
            <w:tcW w:w="1725" w:type="dxa"/>
            <w:noWrap w:val="0"/>
            <w:vAlign w:val="center"/>
          </w:tcPr>
          <w:p>
            <w:pPr>
              <w:spacing w:line="276" w:lineRule="auto"/>
              <w:jc w:val="center"/>
              <w:rPr>
                <w:rFonts w:hint="eastAsia" w:ascii="仿宋" w:hAnsi="仿宋" w:eastAsia="仿宋" w:cs="仿宋"/>
                <w:b/>
                <w:color w:val="auto"/>
                <w:kern w:val="0"/>
                <w:sz w:val="28"/>
                <w:szCs w:val="21"/>
                <w:highlight w:val="none"/>
              </w:rPr>
            </w:pPr>
            <w:r>
              <w:rPr>
                <w:rFonts w:hint="eastAsia" w:ascii="仿宋" w:hAnsi="仿宋" w:eastAsia="仿宋" w:cs="仿宋"/>
                <w:b/>
                <w:color w:val="auto"/>
                <w:kern w:val="0"/>
                <w:sz w:val="28"/>
                <w:szCs w:val="21"/>
                <w:highlight w:val="none"/>
              </w:rPr>
              <w:t>扣分说明</w:t>
            </w:r>
          </w:p>
        </w:tc>
        <w:tc>
          <w:tcPr>
            <w:tcW w:w="1418" w:type="dxa"/>
            <w:noWrap w:val="0"/>
            <w:vAlign w:val="center"/>
          </w:tcPr>
          <w:p>
            <w:pPr>
              <w:spacing w:line="276" w:lineRule="auto"/>
              <w:jc w:val="center"/>
              <w:rPr>
                <w:rFonts w:hint="eastAsia" w:ascii="仿宋" w:hAnsi="仿宋" w:eastAsia="仿宋" w:cs="仿宋"/>
                <w:b/>
                <w:color w:val="auto"/>
                <w:kern w:val="0"/>
                <w:sz w:val="28"/>
                <w:szCs w:val="21"/>
                <w:highlight w:val="none"/>
              </w:rPr>
            </w:pPr>
            <w:r>
              <w:rPr>
                <w:rFonts w:hint="eastAsia" w:ascii="仿宋" w:hAnsi="仿宋" w:eastAsia="仿宋" w:cs="仿宋"/>
                <w:b/>
                <w:color w:val="auto"/>
                <w:kern w:val="0"/>
                <w:sz w:val="28"/>
                <w:szCs w:val="21"/>
                <w:highlight w:val="none"/>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122" w:type="dxa"/>
            <w:vMerge w:val="restart"/>
            <w:noWrap w:val="0"/>
            <w:vAlign w:val="center"/>
          </w:tcPr>
          <w:p>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安全文明</w:t>
            </w:r>
          </w:p>
        </w:tc>
        <w:tc>
          <w:tcPr>
            <w:tcW w:w="1477" w:type="dxa"/>
            <w:vMerge w:val="restart"/>
            <w:noWrap w:val="0"/>
            <w:vAlign w:val="center"/>
          </w:tcPr>
          <w:p>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规范操作,防止安全事故发生</w:t>
            </w:r>
          </w:p>
        </w:tc>
        <w:tc>
          <w:tcPr>
            <w:tcW w:w="3699" w:type="dxa"/>
            <w:noWrap w:val="0"/>
            <w:vAlign w:val="center"/>
          </w:tcPr>
          <w:p>
            <w:pPr>
              <w:spacing w:line="276"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未按要求进行安全文明施工的，每发现一次扣1分</w:t>
            </w:r>
          </w:p>
        </w:tc>
        <w:tc>
          <w:tcPr>
            <w:tcW w:w="1725" w:type="dxa"/>
            <w:noWrap w:val="0"/>
            <w:vAlign w:val="center"/>
          </w:tcPr>
          <w:p>
            <w:pPr>
              <w:spacing w:line="276" w:lineRule="auto"/>
              <w:jc w:val="center"/>
              <w:rPr>
                <w:rFonts w:hint="eastAsia" w:ascii="仿宋" w:hAnsi="仿宋" w:eastAsia="仿宋" w:cs="仿宋"/>
                <w:color w:val="auto"/>
                <w:kern w:val="0"/>
                <w:sz w:val="24"/>
                <w:szCs w:val="24"/>
                <w:highlight w:val="none"/>
              </w:rPr>
            </w:pPr>
          </w:p>
        </w:tc>
        <w:tc>
          <w:tcPr>
            <w:tcW w:w="1418" w:type="dxa"/>
            <w:noWrap w:val="0"/>
            <w:vAlign w:val="center"/>
          </w:tcPr>
          <w:p>
            <w:pPr>
              <w:spacing w:line="276" w:lineRule="auto"/>
              <w:jc w:val="center"/>
              <w:rPr>
                <w:rFonts w:hint="eastAsia" w:ascii="仿宋" w:hAnsi="仿宋" w:eastAsia="仿宋" w:cs="仿宋"/>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122" w:type="dxa"/>
            <w:vMerge w:val="continue"/>
            <w:noWrap w:val="0"/>
            <w:vAlign w:val="center"/>
          </w:tcPr>
          <w:p>
            <w:pPr>
              <w:spacing w:line="276" w:lineRule="auto"/>
              <w:jc w:val="center"/>
              <w:rPr>
                <w:rFonts w:hint="eastAsia" w:ascii="仿宋" w:hAnsi="仿宋" w:eastAsia="仿宋" w:cs="仿宋"/>
                <w:color w:val="auto"/>
                <w:kern w:val="0"/>
                <w:sz w:val="24"/>
                <w:szCs w:val="24"/>
                <w:highlight w:val="none"/>
              </w:rPr>
            </w:pPr>
          </w:p>
        </w:tc>
        <w:tc>
          <w:tcPr>
            <w:tcW w:w="1477" w:type="dxa"/>
            <w:vMerge w:val="continue"/>
            <w:noWrap w:val="0"/>
            <w:vAlign w:val="center"/>
          </w:tcPr>
          <w:p>
            <w:pPr>
              <w:spacing w:line="276" w:lineRule="auto"/>
              <w:jc w:val="center"/>
              <w:rPr>
                <w:rFonts w:hint="eastAsia" w:ascii="仿宋" w:hAnsi="仿宋" w:eastAsia="仿宋" w:cs="仿宋"/>
                <w:color w:val="auto"/>
                <w:kern w:val="0"/>
                <w:sz w:val="24"/>
                <w:szCs w:val="24"/>
                <w:highlight w:val="none"/>
              </w:rPr>
            </w:pPr>
          </w:p>
        </w:tc>
        <w:tc>
          <w:tcPr>
            <w:tcW w:w="3699" w:type="dxa"/>
            <w:noWrap w:val="0"/>
            <w:vAlign w:val="center"/>
          </w:tcPr>
          <w:p>
            <w:pPr>
              <w:spacing w:line="276"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发生安全事故的,每次扣10分</w:t>
            </w:r>
          </w:p>
        </w:tc>
        <w:tc>
          <w:tcPr>
            <w:tcW w:w="1725" w:type="dxa"/>
            <w:noWrap w:val="0"/>
            <w:vAlign w:val="center"/>
          </w:tcPr>
          <w:p>
            <w:pPr>
              <w:spacing w:line="276" w:lineRule="auto"/>
              <w:jc w:val="center"/>
              <w:rPr>
                <w:rFonts w:hint="eastAsia" w:ascii="仿宋" w:hAnsi="仿宋" w:eastAsia="仿宋" w:cs="仿宋"/>
                <w:color w:val="auto"/>
                <w:kern w:val="0"/>
                <w:sz w:val="24"/>
                <w:szCs w:val="24"/>
                <w:highlight w:val="none"/>
              </w:rPr>
            </w:pPr>
          </w:p>
        </w:tc>
        <w:tc>
          <w:tcPr>
            <w:tcW w:w="1418" w:type="dxa"/>
            <w:noWrap w:val="0"/>
            <w:vAlign w:val="center"/>
          </w:tcPr>
          <w:p>
            <w:pPr>
              <w:spacing w:line="276" w:lineRule="auto"/>
              <w:jc w:val="center"/>
              <w:rPr>
                <w:rFonts w:hint="eastAsia" w:ascii="仿宋" w:hAnsi="仿宋" w:eastAsia="仿宋" w:cs="仿宋"/>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1" w:hRule="atLeast"/>
          <w:jc w:val="center"/>
        </w:trPr>
        <w:tc>
          <w:tcPr>
            <w:tcW w:w="1122" w:type="dxa"/>
            <w:noWrap w:val="0"/>
            <w:vAlign w:val="center"/>
          </w:tcPr>
          <w:p>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设备安全</w:t>
            </w:r>
          </w:p>
        </w:tc>
        <w:tc>
          <w:tcPr>
            <w:tcW w:w="1477" w:type="dxa"/>
            <w:noWrap w:val="0"/>
            <w:vAlign w:val="center"/>
          </w:tcPr>
          <w:p>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灯具设备及设施不得发生漏电或火灾事故</w:t>
            </w:r>
          </w:p>
        </w:tc>
        <w:tc>
          <w:tcPr>
            <w:tcW w:w="3699" w:type="dxa"/>
            <w:noWrap w:val="0"/>
            <w:vAlign w:val="center"/>
          </w:tcPr>
          <w:p>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维护期内发生漏电，每次扣10分</w:t>
            </w:r>
          </w:p>
          <w:p>
            <w:pPr>
              <w:spacing w:line="276" w:lineRule="auto"/>
              <w:rPr>
                <w:rFonts w:hint="eastAsia" w:ascii="仿宋" w:hAnsi="仿宋" w:eastAsia="仿宋" w:cs="仿宋"/>
                <w:color w:val="auto"/>
                <w:kern w:val="0"/>
                <w:sz w:val="24"/>
                <w:szCs w:val="24"/>
                <w:highlight w:val="none"/>
              </w:rPr>
            </w:pPr>
          </w:p>
        </w:tc>
        <w:tc>
          <w:tcPr>
            <w:tcW w:w="1725" w:type="dxa"/>
            <w:noWrap w:val="0"/>
            <w:vAlign w:val="center"/>
          </w:tcPr>
          <w:p>
            <w:pPr>
              <w:spacing w:line="276" w:lineRule="auto"/>
              <w:jc w:val="center"/>
              <w:rPr>
                <w:rFonts w:hint="eastAsia" w:ascii="仿宋" w:hAnsi="仿宋" w:eastAsia="仿宋" w:cs="仿宋"/>
                <w:color w:val="auto"/>
                <w:kern w:val="0"/>
                <w:sz w:val="24"/>
                <w:szCs w:val="24"/>
                <w:highlight w:val="none"/>
              </w:rPr>
            </w:pPr>
          </w:p>
        </w:tc>
        <w:tc>
          <w:tcPr>
            <w:tcW w:w="1418" w:type="dxa"/>
            <w:noWrap w:val="0"/>
            <w:vAlign w:val="center"/>
          </w:tcPr>
          <w:p>
            <w:pPr>
              <w:spacing w:line="276" w:lineRule="auto"/>
              <w:jc w:val="center"/>
              <w:rPr>
                <w:rFonts w:hint="eastAsia" w:ascii="仿宋" w:hAnsi="仿宋" w:eastAsia="仿宋" w:cs="仿宋"/>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122" w:type="dxa"/>
            <w:vMerge w:val="restart"/>
            <w:noWrap w:val="0"/>
            <w:vAlign w:val="center"/>
          </w:tcPr>
          <w:p>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安全章程</w:t>
            </w:r>
          </w:p>
        </w:tc>
        <w:tc>
          <w:tcPr>
            <w:tcW w:w="1477" w:type="dxa"/>
            <w:vMerge w:val="restart"/>
            <w:noWrap w:val="0"/>
            <w:vAlign w:val="center"/>
          </w:tcPr>
          <w:p>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维护企业需有专门安全生产的制度、章程</w:t>
            </w:r>
          </w:p>
        </w:tc>
        <w:tc>
          <w:tcPr>
            <w:tcW w:w="3699" w:type="dxa"/>
            <w:noWrap w:val="0"/>
            <w:vAlign w:val="center"/>
          </w:tcPr>
          <w:p>
            <w:pPr>
              <w:spacing w:line="276"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维护企业不能提供的，每次扣5分</w:t>
            </w:r>
          </w:p>
        </w:tc>
        <w:tc>
          <w:tcPr>
            <w:tcW w:w="1725" w:type="dxa"/>
            <w:noWrap w:val="0"/>
            <w:vAlign w:val="center"/>
          </w:tcPr>
          <w:p>
            <w:pPr>
              <w:spacing w:line="276" w:lineRule="auto"/>
              <w:jc w:val="center"/>
              <w:rPr>
                <w:rFonts w:hint="eastAsia" w:ascii="仿宋" w:hAnsi="仿宋" w:eastAsia="仿宋" w:cs="仿宋"/>
                <w:color w:val="auto"/>
                <w:kern w:val="0"/>
                <w:sz w:val="24"/>
                <w:szCs w:val="24"/>
                <w:highlight w:val="none"/>
              </w:rPr>
            </w:pPr>
          </w:p>
        </w:tc>
        <w:tc>
          <w:tcPr>
            <w:tcW w:w="1418" w:type="dxa"/>
            <w:noWrap w:val="0"/>
            <w:vAlign w:val="center"/>
          </w:tcPr>
          <w:p>
            <w:pPr>
              <w:spacing w:line="276" w:lineRule="auto"/>
              <w:jc w:val="center"/>
              <w:rPr>
                <w:rFonts w:hint="eastAsia" w:ascii="仿宋" w:hAnsi="仿宋" w:eastAsia="仿宋" w:cs="仿宋"/>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1122" w:type="dxa"/>
            <w:vMerge w:val="continue"/>
            <w:noWrap w:val="0"/>
            <w:vAlign w:val="center"/>
          </w:tcPr>
          <w:p>
            <w:pPr>
              <w:spacing w:line="276" w:lineRule="auto"/>
              <w:jc w:val="center"/>
              <w:rPr>
                <w:rFonts w:hint="eastAsia" w:ascii="仿宋" w:hAnsi="仿宋" w:eastAsia="仿宋" w:cs="仿宋"/>
                <w:color w:val="auto"/>
                <w:kern w:val="0"/>
                <w:sz w:val="24"/>
                <w:szCs w:val="24"/>
                <w:highlight w:val="none"/>
              </w:rPr>
            </w:pPr>
          </w:p>
        </w:tc>
        <w:tc>
          <w:tcPr>
            <w:tcW w:w="1477" w:type="dxa"/>
            <w:vMerge w:val="continue"/>
            <w:noWrap w:val="0"/>
            <w:vAlign w:val="center"/>
          </w:tcPr>
          <w:p>
            <w:pPr>
              <w:spacing w:line="276" w:lineRule="auto"/>
              <w:jc w:val="center"/>
              <w:rPr>
                <w:rFonts w:hint="eastAsia" w:ascii="仿宋" w:hAnsi="仿宋" w:eastAsia="仿宋" w:cs="仿宋"/>
                <w:color w:val="auto"/>
                <w:kern w:val="0"/>
                <w:sz w:val="24"/>
                <w:szCs w:val="24"/>
                <w:highlight w:val="none"/>
              </w:rPr>
            </w:pPr>
          </w:p>
        </w:tc>
        <w:tc>
          <w:tcPr>
            <w:tcW w:w="3699" w:type="dxa"/>
            <w:noWrap w:val="0"/>
            <w:vAlign w:val="center"/>
          </w:tcPr>
          <w:p>
            <w:pPr>
              <w:spacing w:line="276"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作业时未按安全章程进行操作的，每次1分</w:t>
            </w:r>
          </w:p>
        </w:tc>
        <w:tc>
          <w:tcPr>
            <w:tcW w:w="1725" w:type="dxa"/>
            <w:noWrap w:val="0"/>
            <w:vAlign w:val="center"/>
          </w:tcPr>
          <w:p>
            <w:pPr>
              <w:spacing w:line="276" w:lineRule="auto"/>
              <w:jc w:val="center"/>
              <w:rPr>
                <w:rFonts w:hint="eastAsia" w:ascii="仿宋" w:hAnsi="仿宋" w:eastAsia="仿宋" w:cs="仿宋"/>
                <w:color w:val="auto"/>
                <w:kern w:val="0"/>
                <w:sz w:val="24"/>
                <w:szCs w:val="24"/>
                <w:highlight w:val="none"/>
              </w:rPr>
            </w:pPr>
          </w:p>
        </w:tc>
        <w:tc>
          <w:tcPr>
            <w:tcW w:w="1418" w:type="dxa"/>
            <w:noWrap w:val="0"/>
            <w:vAlign w:val="center"/>
          </w:tcPr>
          <w:p>
            <w:pPr>
              <w:spacing w:line="276" w:lineRule="auto"/>
              <w:jc w:val="center"/>
              <w:rPr>
                <w:rFonts w:hint="eastAsia" w:ascii="仿宋" w:hAnsi="仿宋" w:eastAsia="仿宋" w:cs="仿宋"/>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122" w:type="dxa"/>
            <w:vMerge w:val="restart"/>
            <w:noWrap w:val="0"/>
            <w:vAlign w:val="center"/>
          </w:tcPr>
          <w:p>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安全</w:t>
            </w:r>
          </w:p>
          <w:p>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设施</w:t>
            </w:r>
          </w:p>
          <w:p>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配备</w:t>
            </w:r>
          </w:p>
        </w:tc>
        <w:tc>
          <w:tcPr>
            <w:tcW w:w="1477" w:type="dxa"/>
            <w:vMerge w:val="restart"/>
            <w:noWrap w:val="0"/>
            <w:vAlign w:val="center"/>
          </w:tcPr>
          <w:p>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对施工现场情况进行监督</w:t>
            </w:r>
          </w:p>
        </w:tc>
        <w:tc>
          <w:tcPr>
            <w:tcW w:w="3699" w:type="dxa"/>
            <w:noWrap w:val="0"/>
            <w:vAlign w:val="center"/>
          </w:tcPr>
          <w:p>
            <w:pPr>
              <w:spacing w:line="276"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安全员未对作业现场进行有效监督的，每次扣1分</w:t>
            </w:r>
          </w:p>
        </w:tc>
        <w:tc>
          <w:tcPr>
            <w:tcW w:w="1725" w:type="dxa"/>
            <w:noWrap w:val="0"/>
            <w:vAlign w:val="center"/>
          </w:tcPr>
          <w:p>
            <w:pPr>
              <w:spacing w:line="276" w:lineRule="auto"/>
              <w:jc w:val="center"/>
              <w:rPr>
                <w:rFonts w:hint="eastAsia" w:ascii="仿宋" w:hAnsi="仿宋" w:eastAsia="仿宋" w:cs="仿宋"/>
                <w:color w:val="auto"/>
                <w:kern w:val="0"/>
                <w:sz w:val="24"/>
                <w:szCs w:val="24"/>
                <w:highlight w:val="none"/>
              </w:rPr>
            </w:pPr>
          </w:p>
        </w:tc>
        <w:tc>
          <w:tcPr>
            <w:tcW w:w="1418" w:type="dxa"/>
            <w:noWrap w:val="0"/>
            <w:vAlign w:val="center"/>
          </w:tcPr>
          <w:p>
            <w:pPr>
              <w:spacing w:line="276" w:lineRule="auto"/>
              <w:jc w:val="center"/>
              <w:rPr>
                <w:rFonts w:hint="eastAsia" w:ascii="仿宋" w:hAnsi="仿宋" w:eastAsia="仿宋" w:cs="仿宋"/>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122" w:type="dxa"/>
            <w:vMerge w:val="continue"/>
            <w:noWrap w:val="0"/>
            <w:vAlign w:val="center"/>
          </w:tcPr>
          <w:p>
            <w:pPr>
              <w:spacing w:line="276" w:lineRule="auto"/>
              <w:jc w:val="center"/>
              <w:rPr>
                <w:rFonts w:hint="eastAsia" w:ascii="仿宋" w:hAnsi="仿宋" w:eastAsia="仿宋" w:cs="仿宋"/>
                <w:color w:val="auto"/>
                <w:kern w:val="0"/>
                <w:sz w:val="24"/>
                <w:szCs w:val="24"/>
                <w:highlight w:val="none"/>
              </w:rPr>
            </w:pPr>
          </w:p>
        </w:tc>
        <w:tc>
          <w:tcPr>
            <w:tcW w:w="1477" w:type="dxa"/>
            <w:vMerge w:val="continue"/>
            <w:noWrap w:val="0"/>
            <w:vAlign w:val="center"/>
          </w:tcPr>
          <w:p>
            <w:pPr>
              <w:spacing w:line="276" w:lineRule="auto"/>
              <w:jc w:val="center"/>
              <w:rPr>
                <w:rFonts w:hint="eastAsia" w:ascii="仿宋" w:hAnsi="仿宋" w:eastAsia="仿宋" w:cs="仿宋"/>
                <w:color w:val="auto"/>
                <w:kern w:val="0"/>
                <w:sz w:val="24"/>
                <w:szCs w:val="24"/>
                <w:highlight w:val="none"/>
              </w:rPr>
            </w:pPr>
          </w:p>
        </w:tc>
        <w:tc>
          <w:tcPr>
            <w:tcW w:w="3699" w:type="dxa"/>
            <w:noWrap w:val="0"/>
            <w:vAlign w:val="center"/>
          </w:tcPr>
          <w:p>
            <w:pPr>
              <w:spacing w:line="276"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作业现场无反光衣、安全桩等安全工具；高处作业未佩带专用工具袋的，每次扣2分</w:t>
            </w:r>
          </w:p>
        </w:tc>
        <w:tc>
          <w:tcPr>
            <w:tcW w:w="1725" w:type="dxa"/>
            <w:noWrap w:val="0"/>
            <w:vAlign w:val="center"/>
          </w:tcPr>
          <w:p>
            <w:pPr>
              <w:spacing w:line="276" w:lineRule="auto"/>
              <w:jc w:val="center"/>
              <w:rPr>
                <w:rFonts w:hint="eastAsia" w:ascii="仿宋" w:hAnsi="仿宋" w:eastAsia="仿宋" w:cs="仿宋"/>
                <w:color w:val="auto"/>
                <w:kern w:val="0"/>
                <w:sz w:val="24"/>
                <w:szCs w:val="24"/>
                <w:highlight w:val="none"/>
              </w:rPr>
            </w:pPr>
          </w:p>
        </w:tc>
        <w:tc>
          <w:tcPr>
            <w:tcW w:w="1418" w:type="dxa"/>
            <w:noWrap w:val="0"/>
            <w:vAlign w:val="center"/>
          </w:tcPr>
          <w:p>
            <w:pPr>
              <w:spacing w:line="276" w:lineRule="auto"/>
              <w:jc w:val="center"/>
              <w:rPr>
                <w:rFonts w:hint="eastAsia" w:ascii="仿宋" w:hAnsi="仿宋" w:eastAsia="仿宋" w:cs="仿宋"/>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1122" w:type="dxa"/>
            <w:vMerge w:val="continue"/>
            <w:noWrap w:val="0"/>
            <w:vAlign w:val="center"/>
          </w:tcPr>
          <w:p>
            <w:pPr>
              <w:spacing w:line="276" w:lineRule="auto"/>
              <w:jc w:val="center"/>
              <w:rPr>
                <w:rFonts w:hint="eastAsia" w:ascii="仿宋" w:hAnsi="仿宋" w:eastAsia="仿宋" w:cs="仿宋"/>
                <w:color w:val="auto"/>
                <w:kern w:val="0"/>
                <w:sz w:val="24"/>
                <w:szCs w:val="24"/>
                <w:highlight w:val="none"/>
              </w:rPr>
            </w:pPr>
          </w:p>
        </w:tc>
        <w:tc>
          <w:tcPr>
            <w:tcW w:w="1477" w:type="dxa"/>
            <w:vMerge w:val="continue"/>
            <w:noWrap w:val="0"/>
            <w:vAlign w:val="center"/>
          </w:tcPr>
          <w:p>
            <w:pPr>
              <w:spacing w:line="276" w:lineRule="auto"/>
              <w:jc w:val="center"/>
              <w:rPr>
                <w:rFonts w:hint="eastAsia" w:ascii="仿宋" w:hAnsi="仿宋" w:eastAsia="仿宋" w:cs="仿宋"/>
                <w:color w:val="auto"/>
                <w:kern w:val="0"/>
                <w:sz w:val="24"/>
                <w:szCs w:val="24"/>
                <w:highlight w:val="none"/>
              </w:rPr>
            </w:pPr>
          </w:p>
        </w:tc>
        <w:tc>
          <w:tcPr>
            <w:tcW w:w="3699" w:type="dxa"/>
            <w:noWrap w:val="0"/>
            <w:vAlign w:val="center"/>
          </w:tcPr>
          <w:p>
            <w:pPr>
              <w:spacing w:line="276"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高处作业未按规定佩带安全带或下吊绳索不合要求的。每次3分</w:t>
            </w:r>
          </w:p>
        </w:tc>
        <w:tc>
          <w:tcPr>
            <w:tcW w:w="1725" w:type="dxa"/>
            <w:noWrap w:val="0"/>
            <w:vAlign w:val="center"/>
          </w:tcPr>
          <w:p>
            <w:pPr>
              <w:spacing w:line="276" w:lineRule="auto"/>
              <w:jc w:val="center"/>
              <w:rPr>
                <w:rFonts w:hint="eastAsia" w:ascii="仿宋" w:hAnsi="仿宋" w:eastAsia="仿宋" w:cs="仿宋"/>
                <w:color w:val="auto"/>
                <w:kern w:val="0"/>
                <w:sz w:val="24"/>
                <w:szCs w:val="24"/>
                <w:highlight w:val="none"/>
              </w:rPr>
            </w:pPr>
          </w:p>
        </w:tc>
        <w:tc>
          <w:tcPr>
            <w:tcW w:w="1418" w:type="dxa"/>
            <w:noWrap w:val="0"/>
            <w:vAlign w:val="center"/>
          </w:tcPr>
          <w:p>
            <w:pPr>
              <w:spacing w:line="276" w:lineRule="auto"/>
              <w:jc w:val="center"/>
              <w:rPr>
                <w:rFonts w:hint="eastAsia" w:ascii="仿宋" w:hAnsi="仿宋" w:eastAsia="仿宋" w:cs="仿宋"/>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1122" w:type="dxa"/>
            <w:vMerge w:val="continue"/>
            <w:noWrap w:val="0"/>
            <w:vAlign w:val="center"/>
          </w:tcPr>
          <w:p>
            <w:pPr>
              <w:spacing w:line="276" w:lineRule="auto"/>
              <w:jc w:val="center"/>
              <w:rPr>
                <w:rFonts w:hint="eastAsia" w:ascii="仿宋" w:hAnsi="仿宋" w:eastAsia="仿宋" w:cs="仿宋"/>
                <w:color w:val="auto"/>
                <w:kern w:val="0"/>
                <w:sz w:val="24"/>
                <w:szCs w:val="24"/>
                <w:highlight w:val="none"/>
              </w:rPr>
            </w:pPr>
          </w:p>
        </w:tc>
        <w:tc>
          <w:tcPr>
            <w:tcW w:w="1477" w:type="dxa"/>
            <w:vMerge w:val="continue"/>
            <w:noWrap w:val="0"/>
            <w:vAlign w:val="center"/>
          </w:tcPr>
          <w:p>
            <w:pPr>
              <w:spacing w:line="276" w:lineRule="auto"/>
              <w:jc w:val="center"/>
              <w:rPr>
                <w:rFonts w:hint="eastAsia" w:ascii="仿宋" w:hAnsi="仿宋" w:eastAsia="仿宋" w:cs="仿宋"/>
                <w:color w:val="auto"/>
                <w:kern w:val="0"/>
                <w:sz w:val="24"/>
                <w:szCs w:val="24"/>
                <w:highlight w:val="none"/>
              </w:rPr>
            </w:pPr>
          </w:p>
        </w:tc>
        <w:tc>
          <w:tcPr>
            <w:tcW w:w="3699" w:type="dxa"/>
            <w:noWrap w:val="0"/>
            <w:vAlign w:val="center"/>
          </w:tcPr>
          <w:p>
            <w:pPr>
              <w:spacing w:line="276"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占道作业时未按规定封道、未做好安全防护工作的。每次3分</w:t>
            </w:r>
          </w:p>
        </w:tc>
        <w:tc>
          <w:tcPr>
            <w:tcW w:w="1725" w:type="dxa"/>
            <w:noWrap w:val="0"/>
            <w:vAlign w:val="center"/>
          </w:tcPr>
          <w:p>
            <w:pPr>
              <w:spacing w:line="276" w:lineRule="auto"/>
              <w:jc w:val="center"/>
              <w:rPr>
                <w:rFonts w:hint="eastAsia" w:ascii="仿宋" w:hAnsi="仿宋" w:eastAsia="仿宋" w:cs="仿宋"/>
                <w:color w:val="auto"/>
                <w:kern w:val="0"/>
                <w:sz w:val="24"/>
                <w:szCs w:val="24"/>
                <w:highlight w:val="none"/>
              </w:rPr>
            </w:pPr>
          </w:p>
        </w:tc>
        <w:tc>
          <w:tcPr>
            <w:tcW w:w="1418" w:type="dxa"/>
            <w:noWrap w:val="0"/>
            <w:vAlign w:val="center"/>
          </w:tcPr>
          <w:p>
            <w:pPr>
              <w:spacing w:line="276" w:lineRule="auto"/>
              <w:jc w:val="center"/>
              <w:rPr>
                <w:rFonts w:hint="eastAsia" w:ascii="仿宋" w:hAnsi="仿宋" w:eastAsia="仿宋" w:cs="仿宋"/>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599" w:type="dxa"/>
            <w:gridSpan w:val="2"/>
            <w:noWrap w:val="0"/>
            <w:vAlign w:val="center"/>
          </w:tcPr>
          <w:p>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扣分共计</w:t>
            </w:r>
          </w:p>
        </w:tc>
        <w:tc>
          <w:tcPr>
            <w:tcW w:w="6843" w:type="dxa"/>
            <w:gridSpan w:val="3"/>
            <w:noWrap w:val="0"/>
            <w:vAlign w:val="center"/>
          </w:tcPr>
          <w:p>
            <w:pPr>
              <w:spacing w:line="276" w:lineRule="auto"/>
              <w:jc w:val="center"/>
              <w:rPr>
                <w:rFonts w:hint="eastAsia" w:ascii="仿宋" w:hAnsi="仿宋" w:eastAsia="仿宋" w:cs="仿宋"/>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599" w:type="dxa"/>
            <w:gridSpan w:val="2"/>
            <w:noWrap w:val="0"/>
            <w:vAlign w:val="center"/>
          </w:tcPr>
          <w:p>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维护企业</w:t>
            </w:r>
          </w:p>
        </w:tc>
        <w:tc>
          <w:tcPr>
            <w:tcW w:w="3699" w:type="dxa"/>
            <w:noWrap w:val="0"/>
            <w:vAlign w:val="center"/>
          </w:tcPr>
          <w:p>
            <w:pPr>
              <w:spacing w:line="276" w:lineRule="auto"/>
              <w:rPr>
                <w:rFonts w:hint="eastAsia" w:ascii="仿宋" w:hAnsi="仿宋" w:eastAsia="仿宋" w:cs="仿宋"/>
                <w:color w:val="auto"/>
                <w:kern w:val="0"/>
                <w:sz w:val="24"/>
                <w:szCs w:val="24"/>
                <w:highlight w:val="none"/>
              </w:rPr>
            </w:pPr>
          </w:p>
        </w:tc>
        <w:tc>
          <w:tcPr>
            <w:tcW w:w="1725" w:type="dxa"/>
            <w:noWrap w:val="0"/>
            <w:vAlign w:val="center"/>
          </w:tcPr>
          <w:p>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维护人</w:t>
            </w:r>
          </w:p>
        </w:tc>
        <w:tc>
          <w:tcPr>
            <w:tcW w:w="1418" w:type="dxa"/>
            <w:noWrap w:val="0"/>
            <w:vAlign w:val="center"/>
          </w:tcPr>
          <w:p>
            <w:pPr>
              <w:spacing w:line="276" w:lineRule="auto"/>
              <w:jc w:val="center"/>
              <w:rPr>
                <w:rFonts w:hint="eastAsia" w:ascii="仿宋" w:hAnsi="仿宋" w:eastAsia="仿宋" w:cs="仿宋"/>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599" w:type="dxa"/>
            <w:gridSpan w:val="2"/>
            <w:noWrap w:val="0"/>
            <w:vAlign w:val="center"/>
          </w:tcPr>
          <w:p>
            <w:pPr>
              <w:spacing w:line="276" w:lineRule="auto"/>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管理部门</w:t>
            </w:r>
            <w:r>
              <w:rPr>
                <w:rFonts w:hint="eastAsia" w:ascii="仿宋" w:hAnsi="仿宋" w:eastAsia="仿宋" w:cs="仿宋"/>
                <w:color w:val="auto"/>
                <w:kern w:val="0"/>
                <w:sz w:val="24"/>
                <w:szCs w:val="24"/>
                <w:highlight w:val="none"/>
                <w:lang w:val="en-US" w:eastAsia="zh-CN"/>
              </w:rPr>
              <w:t>/单位</w:t>
            </w:r>
          </w:p>
        </w:tc>
        <w:tc>
          <w:tcPr>
            <w:tcW w:w="3699" w:type="dxa"/>
            <w:noWrap w:val="0"/>
            <w:vAlign w:val="center"/>
          </w:tcPr>
          <w:p>
            <w:pPr>
              <w:spacing w:line="276" w:lineRule="auto"/>
              <w:rPr>
                <w:rFonts w:hint="eastAsia" w:ascii="仿宋" w:hAnsi="仿宋" w:eastAsia="仿宋" w:cs="仿宋"/>
                <w:color w:val="auto"/>
                <w:kern w:val="0"/>
                <w:sz w:val="24"/>
                <w:szCs w:val="24"/>
                <w:highlight w:val="none"/>
              </w:rPr>
            </w:pPr>
          </w:p>
        </w:tc>
        <w:tc>
          <w:tcPr>
            <w:tcW w:w="1725" w:type="dxa"/>
            <w:noWrap w:val="0"/>
            <w:vAlign w:val="center"/>
          </w:tcPr>
          <w:p>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考核人</w:t>
            </w:r>
          </w:p>
        </w:tc>
        <w:tc>
          <w:tcPr>
            <w:tcW w:w="1418" w:type="dxa"/>
            <w:noWrap w:val="0"/>
            <w:vAlign w:val="center"/>
          </w:tcPr>
          <w:p>
            <w:pPr>
              <w:spacing w:line="276" w:lineRule="auto"/>
              <w:jc w:val="center"/>
              <w:rPr>
                <w:rFonts w:hint="eastAsia" w:ascii="仿宋" w:hAnsi="仿宋" w:eastAsia="仿宋" w:cs="仿宋"/>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599" w:type="dxa"/>
            <w:gridSpan w:val="2"/>
            <w:noWrap w:val="0"/>
            <w:vAlign w:val="center"/>
          </w:tcPr>
          <w:p>
            <w:pPr>
              <w:spacing w:line="276"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日期</w:t>
            </w:r>
          </w:p>
        </w:tc>
        <w:tc>
          <w:tcPr>
            <w:tcW w:w="6843" w:type="dxa"/>
            <w:gridSpan w:val="3"/>
            <w:noWrap w:val="0"/>
            <w:vAlign w:val="center"/>
          </w:tcPr>
          <w:p>
            <w:pPr>
              <w:spacing w:line="276" w:lineRule="auto"/>
              <w:jc w:val="center"/>
              <w:rPr>
                <w:rFonts w:hint="eastAsia" w:ascii="仿宋" w:hAnsi="仿宋" w:eastAsia="仿宋" w:cs="仿宋"/>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9443" w:type="dxa"/>
            <w:gridSpan w:val="5"/>
            <w:noWrap w:val="0"/>
            <w:vAlign w:val="center"/>
          </w:tcPr>
          <w:p>
            <w:pPr>
              <w:ind w:left="480" w:hanging="480" w:hanging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注：城市照明管理部门</w:t>
            </w:r>
            <w:r>
              <w:rPr>
                <w:rFonts w:hint="eastAsia" w:ascii="仿宋" w:hAnsi="仿宋" w:eastAsia="仿宋" w:cs="仿宋"/>
                <w:color w:val="auto"/>
                <w:kern w:val="0"/>
                <w:sz w:val="24"/>
                <w:szCs w:val="24"/>
                <w:highlight w:val="none"/>
                <w:lang w:val="en-US" w:eastAsia="zh-CN"/>
              </w:rPr>
              <w:t>或委托管理单位</w:t>
            </w:r>
            <w:r>
              <w:rPr>
                <w:rFonts w:hint="eastAsia" w:ascii="仿宋" w:hAnsi="仿宋" w:eastAsia="仿宋" w:cs="仿宋"/>
                <w:color w:val="auto"/>
                <w:sz w:val="24"/>
                <w:szCs w:val="24"/>
                <w:highlight w:val="none"/>
              </w:rPr>
              <w:t>每月对维护企业的安全生产进行测评汇总。得分计入考核汇总表，本项最多扣15分。</w:t>
            </w:r>
          </w:p>
        </w:tc>
      </w:tr>
    </w:tbl>
    <w:p>
      <w:pPr>
        <w:jc w:val="center"/>
        <w:rPr>
          <w:rFonts w:hint="eastAsia" w:ascii="仿宋" w:hAnsi="仿宋" w:eastAsia="仿宋" w:cs="仿宋"/>
          <w:color w:val="auto"/>
          <w:sz w:val="24"/>
          <w:szCs w:val="24"/>
          <w:highlight w:val="none"/>
        </w:rPr>
      </w:pPr>
      <w:r>
        <w:rPr>
          <w:rFonts w:hint="eastAsia" w:ascii="仿宋" w:hAnsi="仿宋" w:eastAsia="仿宋" w:cs="仿宋"/>
          <w:color w:val="auto"/>
          <w:sz w:val="28"/>
          <w:szCs w:val="21"/>
          <w:highlight w:val="none"/>
        </w:rPr>
        <w:br w:type="page"/>
      </w:r>
      <w:bookmarkStart w:id="32" w:name="_Toc532557305"/>
      <w:bookmarkStart w:id="33" w:name="_Toc513456696"/>
      <w:bookmarkStart w:id="34" w:name="_Toc519691728"/>
      <w:r>
        <w:rPr>
          <w:rFonts w:hint="eastAsia" w:ascii="仿宋" w:hAnsi="仿宋" w:eastAsia="仿宋" w:cs="仿宋"/>
          <w:b/>
          <w:bCs/>
          <w:color w:val="auto"/>
          <w:sz w:val="28"/>
          <w:szCs w:val="28"/>
          <w:highlight w:val="none"/>
        </w:rPr>
        <w:t>6  景观照明设施考核结果应用表</w:t>
      </w:r>
      <w:bookmarkEnd w:id="32"/>
      <w:bookmarkEnd w:id="33"/>
      <w:bookmarkEnd w:id="34"/>
    </w:p>
    <w:tbl>
      <w:tblPr>
        <w:tblStyle w:val="7"/>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2925"/>
        <w:gridCol w:w="2231"/>
        <w:gridCol w:w="2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exact"/>
          <w:jc w:val="center"/>
        </w:trPr>
        <w:tc>
          <w:tcPr>
            <w:tcW w:w="1253" w:type="dxa"/>
            <w:noWrap w:val="0"/>
            <w:vAlign w:val="center"/>
          </w:tcPr>
          <w:p>
            <w:pPr>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考核项目</w:t>
            </w:r>
          </w:p>
        </w:tc>
        <w:tc>
          <w:tcPr>
            <w:tcW w:w="2925" w:type="dxa"/>
            <w:noWrap w:val="0"/>
            <w:vAlign w:val="center"/>
          </w:tcPr>
          <w:p>
            <w:pPr>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分值分类</w:t>
            </w:r>
          </w:p>
        </w:tc>
        <w:tc>
          <w:tcPr>
            <w:tcW w:w="2231" w:type="dxa"/>
            <w:noWrap w:val="0"/>
            <w:vAlign w:val="center"/>
          </w:tcPr>
          <w:p>
            <w:pPr>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考核得分</w:t>
            </w:r>
          </w:p>
        </w:tc>
        <w:tc>
          <w:tcPr>
            <w:tcW w:w="2370" w:type="dxa"/>
            <w:noWrap w:val="0"/>
            <w:vAlign w:val="center"/>
          </w:tcPr>
          <w:p>
            <w:pPr>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维护费用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exact"/>
          <w:jc w:val="center"/>
        </w:trPr>
        <w:tc>
          <w:tcPr>
            <w:tcW w:w="1253" w:type="dxa"/>
            <w:vMerge w:val="restart"/>
            <w:noWrap w:val="0"/>
            <w:vAlign w:val="center"/>
          </w:tcPr>
          <w:p>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w:t>
            </w:r>
          </w:p>
          <w:p>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执行</w:t>
            </w:r>
          </w:p>
          <w:p>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情况</w:t>
            </w:r>
          </w:p>
        </w:tc>
        <w:tc>
          <w:tcPr>
            <w:tcW w:w="2925" w:type="dxa"/>
            <w:noWrap w:val="0"/>
            <w:vAlign w:val="center"/>
          </w:tcPr>
          <w:p>
            <w:pPr>
              <w:jc w:val="center"/>
              <w:rPr>
                <w:rFonts w:hint="eastAsia" w:ascii="仿宋" w:hAnsi="仿宋" w:eastAsia="仿宋" w:cs="仿宋"/>
                <w:b/>
                <w:color w:val="auto"/>
                <w:kern w:val="0"/>
                <w:sz w:val="24"/>
                <w:szCs w:val="24"/>
                <w:highlight w:val="none"/>
              </w:rPr>
            </w:pPr>
            <w:r>
              <w:rPr>
                <w:rFonts w:hint="eastAsia" w:ascii="仿宋" w:hAnsi="仿宋" w:eastAsia="仿宋" w:cs="仿宋"/>
                <w:color w:val="auto"/>
                <w:kern w:val="0"/>
                <w:sz w:val="24"/>
                <w:szCs w:val="24"/>
                <w:highlight w:val="none"/>
              </w:rPr>
              <w:t>98（含）分以上</w:t>
            </w:r>
          </w:p>
        </w:tc>
        <w:tc>
          <w:tcPr>
            <w:tcW w:w="2231" w:type="dxa"/>
            <w:noWrap w:val="0"/>
            <w:vAlign w:val="center"/>
          </w:tcPr>
          <w:p>
            <w:pPr>
              <w:jc w:val="center"/>
              <w:rPr>
                <w:rFonts w:hint="eastAsia" w:ascii="仿宋" w:hAnsi="仿宋" w:eastAsia="仿宋" w:cs="仿宋"/>
                <w:b/>
                <w:color w:val="auto"/>
                <w:kern w:val="0"/>
                <w:sz w:val="24"/>
                <w:szCs w:val="24"/>
                <w:highlight w:val="none"/>
              </w:rPr>
            </w:pPr>
          </w:p>
        </w:tc>
        <w:tc>
          <w:tcPr>
            <w:tcW w:w="2370" w:type="dxa"/>
            <w:noWrap w:val="0"/>
            <w:vAlign w:val="center"/>
          </w:tcPr>
          <w:p>
            <w:pPr>
              <w:jc w:val="center"/>
              <w:rPr>
                <w:rFonts w:hint="eastAsia" w:ascii="仿宋" w:hAnsi="仿宋" w:eastAsia="仿宋" w:cs="仿宋"/>
                <w:b/>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3" w:hRule="exact"/>
          <w:jc w:val="center"/>
        </w:trPr>
        <w:tc>
          <w:tcPr>
            <w:tcW w:w="1253" w:type="dxa"/>
            <w:vMerge w:val="continue"/>
            <w:noWrap w:val="0"/>
            <w:vAlign w:val="center"/>
          </w:tcPr>
          <w:p>
            <w:pPr>
              <w:jc w:val="center"/>
              <w:rPr>
                <w:rFonts w:hint="eastAsia" w:ascii="仿宋" w:hAnsi="仿宋" w:eastAsia="仿宋" w:cs="仿宋"/>
                <w:color w:val="auto"/>
                <w:kern w:val="0"/>
                <w:sz w:val="24"/>
                <w:szCs w:val="24"/>
                <w:highlight w:val="none"/>
              </w:rPr>
            </w:pPr>
          </w:p>
        </w:tc>
        <w:tc>
          <w:tcPr>
            <w:tcW w:w="2925" w:type="dxa"/>
            <w:noWrap w:val="0"/>
            <w:vAlign w:val="center"/>
          </w:tcPr>
          <w:p>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98（不含）-85（含）分</w:t>
            </w:r>
          </w:p>
        </w:tc>
        <w:tc>
          <w:tcPr>
            <w:tcW w:w="2231" w:type="dxa"/>
            <w:noWrap w:val="0"/>
            <w:vAlign w:val="center"/>
          </w:tcPr>
          <w:p>
            <w:pPr>
              <w:jc w:val="center"/>
              <w:rPr>
                <w:rFonts w:hint="eastAsia" w:ascii="仿宋" w:hAnsi="仿宋" w:eastAsia="仿宋" w:cs="仿宋"/>
                <w:color w:val="auto"/>
                <w:kern w:val="0"/>
                <w:sz w:val="24"/>
                <w:szCs w:val="24"/>
                <w:highlight w:val="none"/>
              </w:rPr>
            </w:pPr>
          </w:p>
        </w:tc>
        <w:tc>
          <w:tcPr>
            <w:tcW w:w="2370" w:type="dxa"/>
            <w:noWrap w:val="0"/>
            <w:vAlign w:val="center"/>
          </w:tcPr>
          <w:p>
            <w:pPr>
              <w:jc w:val="center"/>
              <w:rPr>
                <w:rFonts w:hint="eastAsia" w:ascii="仿宋" w:hAnsi="仿宋" w:eastAsia="仿宋" w:cs="仿宋"/>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exact"/>
          <w:jc w:val="center"/>
        </w:trPr>
        <w:tc>
          <w:tcPr>
            <w:tcW w:w="1253" w:type="dxa"/>
            <w:vMerge w:val="continue"/>
            <w:noWrap w:val="0"/>
            <w:vAlign w:val="center"/>
          </w:tcPr>
          <w:p>
            <w:pPr>
              <w:jc w:val="center"/>
              <w:rPr>
                <w:rFonts w:hint="eastAsia" w:ascii="仿宋" w:hAnsi="仿宋" w:eastAsia="仿宋" w:cs="仿宋"/>
                <w:color w:val="auto"/>
                <w:sz w:val="24"/>
                <w:szCs w:val="24"/>
                <w:highlight w:val="none"/>
              </w:rPr>
            </w:pPr>
          </w:p>
        </w:tc>
        <w:tc>
          <w:tcPr>
            <w:tcW w:w="2925" w:type="dxa"/>
            <w:noWrap w:val="0"/>
            <w:vAlign w:val="center"/>
          </w:tcPr>
          <w:p>
            <w:pPr>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85（不含）-75（含）分</w:t>
            </w:r>
          </w:p>
        </w:tc>
        <w:tc>
          <w:tcPr>
            <w:tcW w:w="2231" w:type="dxa"/>
            <w:noWrap w:val="0"/>
            <w:vAlign w:val="center"/>
          </w:tcPr>
          <w:p>
            <w:pPr>
              <w:jc w:val="center"/>
              <w:rPr>
                <w:rFonts w:hint="eastAsia" w:ascii="仿宋" w:hAnsi="仿宋" w:eastAsia="仿宋" w:cs="仿宋"/>
                <w:color w:val="auto"/>
                <w:sz w:val="24"/>
                <w:szCs w:val="24"/>
                <w:highlight w:val="none"/>
              </w:rPr>
            </w:pPr>
          </w:p>
        </w:tc>
        <w:tc>
          <w:tcPr>
            <w:tcW w:w="2370" w:type="dxa"/>
            <w:noWrap w:val="0"/>
            <w:vAlign w:val="center"/>
          </w:tcPr>
          <w:p>
            <w:pPr>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exact"/>
          <w:jc w:val="center"/>
        </w:trPr>
        <w:tc>
          <w:tcPr>
            <w:tcW w:w="1253" w:type="dxa"/>
            <w:vMerge w:val="continue"/>
            <w:noWrap w:val="0"/>
            <w:vAlign w:val="center"/>
          </w:tcPr>
          <w:p>
            <w:pPr>
              <w:jc w:val="center"/>
              <w:rPr>
                <w:rFonts w:hint="eastAsia" w:ascii="仿宋" w:hAnsi="仿宋" w:eastAsia="仿宋" w:cs="仿宋"/>
                <w:color w:val="auto"/>
                <w:sz w:val="24"/>
                <w:szCs w:val="24"/>
                <w:highlight w:val="none"/>
              </w:rPr>
            </w:pPr>
          </w:p>
        </w:tc>
        <w:tc>
          <w:tcPr>
            <w:tcW w:w="2925" w:type="dxa"/>
            <w:noWrap w:val="0"/>
            <w:vAlign w:val="center"/>
          </w:tcPr>
          <w:p>
            <w:pPr>
              <w:ind w:firstLine="240" w:firstLineChars="1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75（不含）分以下</w:t>
            </w:r>
          </w:p>
        </w:tc>
        <w:tc>
          <w:tcPr>
            <w:tcW w:w="2231" w:type="dxa"/>
            <w:noWrap w:val="0"/>
            <w:vAlign w:val="center"/>
          </w:tcPr>
          <w:p>
            <w:pPr>
              <w:jc w:val="center"/>
              <w:rPr>
                <w:rFonts w:hint="eastAsia" w:ascii="仿宋" w:hAnsi="仿宋" w:eastAsia="仿宋" w:cs="仿宋"/>
                <w:color w:val="auto"/>
                <w:sz w:val="24"/>
                <w:szCs w:val="24"/>
                <w:highlight w:val="none"/>
              </w:rPr>
            </w:pPr>
          </w:p>
        </w:tc>
        <w:tc>
          <w:tcPr>
            <w:tcW w:w="2370" w:type="dxa"/>
            <w:noWrap w:val="0"/>
            <w:vAlign w:val="center"/>
          </w:tcPr>
          <w:p>
            <w:pPr>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exact"/>
          <w:jc w:val="center"/>
        </w:trPr>
        <w:tc>
          <w:tcPr>
            <w:tcW w:w="1253" w:type="dxa"/>
            <w:noWrap w:val="0"/>
            <w:vAlign w:val="center"/>
          </w:tcPr>
          <w:p>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特殊情况扣费</w:t>
            </w:r>
          </w:p>
        </w:tc>
        <w:tc>
          <w:tcPr>
            <w:tcW w:w="2925" w:type="dxa"/>
            <w:noWrap w:val="0"/>
            <w:vAlign w:val="center"/>
          </w:tcPr>
          <w:p>
            <w:pPr>
              <w:jc w:val="center"/>
              <w:rPr>
                <w:rFonts w:hint="eastAsia" w:ascii="仿宋" w:hAnsi="仿宋" w:eastAsia="仿宋" w:cs="仿宋"/>
                <w:color w:val="auto"/>
                <w:sz w:val="24"/>
                <w:szCs w:val="24"/>
                <w:highlight w:val="none"/>
              </w:rPr>
            </w:pPr>
          </w:p>
        </w:tc>
        <w:tc>
          <w:tcPr>
            <w:tcW w:w="2231" w:type="dxa"/>
            <w:noWrap w:val="0"/>
            <w:vAlign w:val="center"/>
          </w:tcPr>
          <w:p>
            <w:pPr>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合计支付费用</w:t>
            </w:r>
          </w:p>
        </w:tc>
        <w:tc>
          <w:tcPr>
            <w:tcW w:w="2370" w:type="dxa"/>
            <w:noWrap w:val="0"/>
            <w:vAlign w:val="center"/>
          </w:tcPr>
          <w:p>
            <w:pPr>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exact"/>
          <w:jc w:val="center"/>
        </w:trPr>
        <w:tc>
          <w:tcPr>
            <w:tcW w:w="1253" w:type="dxa"/>
            <w:noWrap w:val="0"/>
            <w:vAlign w:val="center"/>
          </w:tcPr>
          <w:p>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维护企业</w:t>
            </w:r>
          </w:p>
        </w:tc>
        <w:tc>
          <w:tcPr>
            <w:tcW w:w="2925" w:type="dxa"/>
            <w:noWrap w:val="0"/>
            <w:vAlign w:val="center"/>
          </w:tcPr>
          <w:p>
            <w:pPr>
              <w:jc w:val="center"/>
              <w:rPr>
                <w:rFonts w:hint="eastAsia" w:ascii="仿宋" w:hAnsi="仿宋" w:eastAsia="仿宋" w:cs="仿宋"/>
                <w:color w:val="auto"/>
                <w:sz w:val="24"/>
                <w:szCs w:val="24"/>
                <w:highlight w:val="none"/>
              </w:rPr>
            </w:pPr>
          </w:p>
        </w:tc>
        <w:tc>
          <w:tcPr>
            <w:tcW w:w="2231" w:type="dxa"/>
            <w:noWrap w:val="0"/>
            <w:vAlign w:val="center"/>
          </w:tcPr>
          <w:p>
            <w:pPr>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项目负责人</w:t>
            </w:r>
          </w:p>
        </w:tc>
        <w:tc>
          <w:tcPr>
            <w:tcW w:w="2370" w:type="dxa"/>
            <w:noWrap w:val="0"/>
            <w:vAlign w:val="center"/>
          </w:tcPr>
          <w:p>
            <w:pPr>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exact"/>
          <w:jc w:val="center"/>
        </w:trPr>
        <w:tc>
          <w:tcPr>
            <w:tcW w:w="1253" w:type="dxa"/>
            <w:noWrap w:val="0"/>
            <w:vAlign w:val="center"/>
          </w:tcPr>
          <w:p>
            <w:pPr>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管理部门</w:t>
            </w:r>
            <w:r>
              <w:rPr>
                <w:rFonts w:hint="eastAsia" w:ascii="仿宋" w:hAnsi="仿宋" w:eastAsia="仿宋" w:cs="仿宋"/>
                <w:color w:val="auto"/>
                <w:kern w:val="0"/>
                <w:sz w:val="24"/>
                <w:szCs w:val="24"/>
                <w:highlight w:val="none"/>
                <w:lang w:val="en-US" w:eastAsia="zh-CN"/>
              </w:rPr>
              <w:t>/单位</w:t>
            </w:r>
          </w:p>
        </w:tc>
        <w:tc>
          <w:tcPr>
            <w:tcW w:w="2925" w:type="dxa"/>
            <w:noWrap w:val="0"/>
            <w:vAlign w:val="center"/>
          </w:tcPr>
          <w:p>
            <w:pPr>
              <w:jc w:val="center"/>
              <w:rPr>
                <w:rFonts w:hint="eastAsia" w:ascii="仿宋" w:hAnsi="仿宋" w:eastAsia="仿宋" w:cs="仿宋"/>
                <w:color w:val="auto"/>
                <w:sz w:val="24"/>
                <w:szCs w:val="24"/>
                <w:highlight w:val="none"/>
              </w:rPr>
            </w:pPr>
          </w:p>
        </w:tc>
        <w:tc>
          <w:tcPr>
            <w:tcW w:w="2231" w:type="dxa"/>
            <w:noWrap w:val="0"/>
            <w:vAlign w:val="center"/>
          </w:tcPr>
          <w:p>
            <w:pPr>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考核负责人</w:t>
            </w:r>
          </w:p>
        </w:tc>
        <w:tc>
          <w:tcPr>
            <w:tcW w:w="2370" w:type="dxa"/>
            <w:noWrap w:val="0"/>
            <w:vAlign w:val="center"/>
          </w:tcPr>
          <w:p>
            <w:pPr>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exact"/>
          <w:jc w:val="center"/>
        </w:trPr>
        <w:tc>
          <w:tcPr>
            <w:tcW w:w="1253" w:type="dxa"/>
            <w:noWrap w:val="0"/>
            <w:vAlign w:val="center"/>
          </w:tcPr>
          <w:p>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日期</w:t>
            </w:r>
          </w:p>
        </w:tc>
        <w:tc>
          <w:tcPr>
            <w:tcW w:w="7526" w:type="dxa"/>
            <w:gridSpan w:val="3"/>
            <w:noWrap w:val="0"/>
            <w:vAlign w:val="center"/>
          </w:tcPr>
          <w:p>
            <w:pPr>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9" w:hRule="atLeast"/>
          <w:jc w:val="center"/>
        </w:trPr>
        <w:tc>
          <w:tcPr>
            <w:tcW w:w="8779" w:type="dxa"/>
            <w:gridSpan w:val="4"/>
            <w:noWrap w:val="0"/>
            <w:vAlign w:val="center"/>
          </w:tcPr>
          <w:p>
            <w:pPr>
              <w:spacing w:line="276" w:lineRule="auto"/>
              <w:ind w:left="480" w:hanging="480" w:hanging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注：1、该表由城市照明管理部门</w:t>
            </w:r>
            <w:r>
              <w:rPr>
                <w:rFonts w:hint="eastAsia" w:ascii="仿宋" w:hAnsi="仿宋" w:eastAsia="仿宋" w:cs="仿宋"/>
                <w:color w:val="auto"/>
                <w:sz w:val="24"/>
                <w:szCs w:val="24"/>
                <w:highlight w:val="none"/>
                <w:lang w:val="en-US" w:eastAsia="zh-CN"/>
              </w:rPr>
              <w:t>或委托管理单位</w:t>
            </w:r>
            <w:r>
              <w:rPr>
                <w:rFonts w:hint="eastAsia" w:ascii="仿宋" w:hAnsi="仿宋" w:eastAsia="仿宋" w:cs="仿宋"/>
                <w:color w:val="auto"/>
                <w:sz w:val="24"/>
                <w:szCs w:val="24"/>
                <w:highlight w:val="none"/>
              </w:rPr>
              <w:t>根据考核汇总表填写，并由维护企业项目负责人签字确认，作为年维护费用的核算依据。</w:t>
            </w:r>
          </w:p>
          <w:p>
            <w:pPr>
              <w:spacing w:line="400" w:lineRule="atLeas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测评得分≥98时，不扣维护费；85≤测评得分＜98时：测评得分每下降0.1分，对应扣除维护费用30元；75分≤测评得分＜85分时：测评得分每下降0.1分，对应扣除维护费用50元；测评得分＜75分时：扣除当月维护费用的50% （如：月测评得分90分，考核扣减费用=30*（100-90）/0.1；月测评得分80分，考核扣减费用=50*（100-80）/0.1）。若累计两次测评得分 ＜75分，甲方有权扣除全部履约保证金，并有权单方解除合同。若因此给甲方造成损失的，乙方还应当进行赔偿。</w:t>
            </w:r>
          </w:p>
          <w:p>
            <w:pPr>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特殊情况扣费：（1）甲方检查发现灯饰运行中的问题，乙方接到通知后，须按时予以修复，否则，一次扣除人民币200～500元（在日常管护费中扣除）。（2）乙方要保证灯具的完好率，出现灯具损坏要在24小时内及时进行修复，否则，每发现一次，扣除人民币100～200元（在日常管护费中扣除）。（3）因乙方日常管护工作不到位等原因，造成灯饰通夜亮灯，乙方除承担超时亮灯的电费外，并一次扣除人民币2000元（在日常管护费中扣除）；如果由此被新闻媒体曝光或上级批评，造成较坏影响，乙方除接受上述处罚外，再加扣除人民币5000元（在日常管护费中扣除），并向灯饰主管部门作出书面检查。（4）乙方在灯饰维护管理中，灯具及灯具中的各种电器在更换维修时必须使用原规格，原品牌（若原品牌产品停产或其他原因导致无法采购，须使用不低于原品牌的灯具和配件）的合格产品，所有更换的灯具型号必须提供相应的检验报告。如出现所用材料、设备不符合质量要求或配制规格降低，投光灯、三防灯等灯具没有配置补偿电容，乙方必须立即自行整改，及时纠正。如甲方发现乙方已使用不符合要求的材料、设备，乙方必须在24小时内予以纠正，出现一次扣除人民币1000元（在日常管护费中扣除）。（5）在重要接待、庆典和节日，乙方未按照甲方要求办理，或因乙方日常管护工作不到位造成灯饰不能亮灯，致使甲方工作受影响，一次扣除人民币500～2000元（在日常管护费中扣除），并向灯饰主管部门</w:t>
            </w:r>
            <w:r>
              <w:rPr>
                <w:rFonts w:hint="eastAsia" w:ascii="仿宋" w:hAnsi="仿宋" w:eastAsia="仿宋" w:cs="仿宋"/>
                <w:color w:val="auto"/>
                <w:sz w:val="24"/>
                <w:szCs w:val="24"/>
                <w:highlight w:val="none"/>
                <w:lang w:val="en-US" w:eastAsia="zh-CN"/>
              </w:rPr>
              <w:t>或委托管理单位</w:t>
            </w:r>
            <w:r>
              <w:rPr>
                <w:rFonts w:hint="eastAsia" w:ascii="仿宋" w:hAnsi="仿宋" w:eastAsia="仿宋" w:cs="仿宋"/>
                <w:color w:val="auto"/>
                <w:sz w:val="24"/>
                <w:szCs w:val="24"/>
                <w:highlight w:val="none"/>
              </w:rPr>
              <w:t>作出书面检查。（7）乙方擅自更换项目管理人员及操作人员的违约责任：未经许可更换项目经理，甲方将收取乙方违约金5万元（在日常管护费中扣除）；未经许可更换安全员、电工，甲方将收取乙方违约金2万元（在日常管护费中扣除）。（8）乙方在本</w:t>
            </w:r>
            <w:r>
              <w:rPr>
                <w:rFonts w:hint="eastAsia" w:ascii="仿宋" w:hAnsi="仿宋" w:eastAsia="仿宋" w:cs="仿宋"/>
                <w:color w:val="auto"/>
                <w:sz w:val="24"/>
                <w:szCs w:val="24"/>
                <w:highlight w:val="none"/>
                <w:lang w:eastAsia="zh-CN"/>
              </w:rPr>
              <w:t>合同</w:t>
            </w:r>
            <w:r>
              <w:rPr>
                <w:rFonts w:hint="eastAsia" w:ascii="仿宋" w:hAnsi="仿宋" w:eastAsia="仿宋" w:cs="仿宋"/>
                <w:color w:val="auto"/>
                <w:sz w:val="24"/>
                <w:szCs w:val="24"/>
                <w:highlight w:val="none"/>
              </w:rPr>
              <w:t>有效期内不得有任何形式的恶意停工、暂停和不合理的消极怠工，如有此类事情发生，甲方或主管部门有权从</w:t>
            </w:r>
            <w:r>
              <w:rPr>
                <w:rFonts w:hint="eastAsia" w:ascii="仿宋" w:hAnsi="仿宋" w:eastAsia="仿宋" w:cs="仿宋"/>
                <w:color w:val="auto"/>
                <w:sz w:val="24"/>
                <w:szCs w:val="24"/>
                <w:highlight w:val="none"/>
                <w:lang w:val="en-US" w:eastAsia="zh-CN"/>
              </w:rPr>
              <w:t>合同总金额</w:t>
            </w:r>
            <w:r>
              <w:rPr>
                <w:rFonts w:hint="eastAsia" w:ascii="仿宋" w:hAnsi="仿宋" w:eastAsia="仿宋" w:cs="仿宋"/>
                <w:color w:val="auto"/>
                <w:sz w:val="24"/>
                <w:szCs w:val="24"/>
                <w:highlight w:val="none"/>
              </w:rPr>
              <w:t>内直接扣除10%作为违约金（在日常管护费中扣除）。</w:t>
            </w:r>
          </w:p>
          <w:p>
            <w:pPr>
              <w:spacing w:line="276" w:lineRule="auto"/>
              <w:ind w:left="420" w:leftChars="200"/>
              <w:jc w:val="left"/>
              <w:rPr>
                <w:rFonts w:hint="eastAsia" w:ascii="仿宋" w:hAnsi="仿宋" w:eastAsia="仿宋" w:cs="仿宋"/>
                <w:color w:val="auto"/>
                <w:sz w:val="24"/>
                <w:szCs w:val="24"/>
                <w:highlight w:val="none"/>
              </w:rPr>
            </w:pPr>
          </w:p>
        </w:tc>
      </w:tr>
    </w:tbl>
    <w:p/>
    <w:sectPr>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center"/>
      <w:rPr>
        <w:rFonts w:hint="eastAsia" w:ascii="宋体" w:hAnsi="宋体" w:eastAsia="宋体" w:cs="Times New Roman"/>
        <w:kern w:val="2"/>
        <w:sz w:val="21"/>
        <w:szCs w:val="21"/>
        <w:lang w:val="en-US" w:eastAsia="zh-CN" w:bidi="ar-SA"/>
      </w:rPr>
    </w:pPr>
    <w:r>
      <w:rPr>
        <w:rFonts w:ascii="宋体" w:hAnsi="宋体" w:eastAsia="宋体" w:cs="Times New Roman"/>
        <w:kern w:val="2"/>
        <w:sz w:val="21"/>
        <w:szCs w:val="21"/>
        <w:lang w:val="en-US" w:eastAsia="zh-CN" w:bidi="ar-SA"/>
      </w:rPr>
      <w:fldChar w:fldCharType="begin"/>
    </w:r>
    <w:r>
      <w:rPr>
        <w:rStyle w:val="10"/>
        <w:rFonts w:ascii="宋体" w:hAnsi="宋体" w:eastAsia="宋体" w:cs="Times New Roman"/>
        <w:kern w:val="2"/>
        <w:sz w:val="21"/>
        <w:szCs w:val="21"/>
        <w:lang w:val="en-US" w:eastAsia="zh-CN" w:bidi="ar-SA"/>
      </w:rPr>
      <w:instrText xml:space="preserve"> PAGE </w:instrText>
    </w:r>
    <w:r>
      <w:rPr>
        <w:rFonts w:ascii="宋体" w:hAnsi="宋体" w:eastAsia="宋体" w:cs="Times New Roman"/>
        <w:kern w:val="2"/>
        <w:sz w:val="21"/>
        <w:szCs w:val="21"/>
        <w:lang w:val="en-US" w:eastAsia="zh-CN" w:bidi="ar-SA"/>
      </w:rPr>
      <w:fldChar w:fldCharType="separate"/>
    </w:r>
    <w:r>
      <w:rPr>
        <w:rStyle w:val="10"/>
        <w:rFonts w:ascii="宋体" w:hAnsi="宋体" w:eastAsia="宋体" w:cs="Times New Roman"/>
        <w:kern w:val="2"/>
        <w:sz w:val="21"/>
        <w:szCs w:val="21"/>
        <w:lang w:val="en-US" w:eastAsia="zh-CN" w:bidi="ar-SA"/>
      </w:rPr>
      <w:t>- 20 -</w:t>
    </w:r>
    <w:r>
      <w:rPr>
        <w:rFonts w:ascii="宋体" w:hAnsi="宋体" w:eastAsia="宋体" w:cs="Times New Roman"/>
        <w:kern w:val="2"/>
        <w:sz w:val="21"/>
        <w:szCs w:val="21"/>
        <w:lang w:val="en-US" w:eastAsia="zh-CN" w:bidi="ar-S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widowControl w:val="0"/>
      <w:snapToGrid w:val="0"/>
      <w:jc w:val="left"/>
      <w:rPr>
        <w:rStyle w:val="10"/>
        <w:rFonts w:ascii="Times New Roman" w:hAnsi="Times New Roman" w:eastAsia="宋体" w:cs="Times New Roman"/>
        <w:kern w:val="2"/>
        <w:sz w:val="18"/>
        <w:lang w:val="en-US" w:eastAsia="zh-CN" w:bidi="ar-SA"/>
      </w:rPr>
    </w:pPr>
    <w:r>
      <w:rPr>
        <w:rFonts w:ascii="Times New Roman" w:hAnsi="Times New Roman" w:eastAsia="宋体" w:cs="Times New Roman"/>
        <w:kern w:val="2"/>
        <w:sz w:val="18"/>
        <w:lang w:val="en-US" w:eastAsia="zh-CN" w:bidi="ar-SA"/>
      </w:rPr>
      <w:fldChar w:fldCharType="begin"/>
    </w:r>
    <w:r>
      <w:rPr>
        <w:rStyle w:val="10"/>
        <w:rFonts w:ascii="Times New Roman" w:hAnsi="Times New Roman" w:eastAsia="宋体" w:cs="Times New Roman"/>
        <w:kern w:val="2"/>
        <w:sz w:val="18"/>
        <w:lang w:val="en-US" w:eastAsia="zh-CN" w:bidi="ar-SA"/>
      </w:rPr>
      <w:instrText xml:space="preserve">PAGE  </w:instrText>
    </w:r>
    <w:r>
      <w:rPr>
        <w:rFonts w:ascii="Times New Roman" w:hAnsi="Times New Roman" w:eastAsia="宋体" w:cs="Times New Roman"/>
        <w:kern w:val="2"/>
        <w:sz w:val="18"/>
        <w:lang w:val="en-US" w:eastAsia="zh-CN" w:bidi="ar-SA"/>
      </w:rPr>
      <w:fldChar w:fldCharType="separate"/>
    </w:r>
    <w:r>
      <w:rPr>
        <w:rFonts w:ascii="Times New Roman" w:hAnsi="Times New Roman" w:eastAsia="宋体" w:cs="Times New Roman"/>
        <w:kern w:val="2"/>
        <w:sz w:val="18"/>
        <w:lang w:val="en-US" w:eastAsia="zh-CN" w:bidi="ar-SA"/>
      </w:rPr>
      <w:fldChar w:fldCharType="end"/>
    </w:r>
  </w:p>
  <w:p>
    <w:pPr>
      <w:widowControl w:val="0"/>
      <w:snapToGrid w:val="0"/>
      <w:ind w:right="360"/>
      <w:jc w:val="left"/>
      <w:rPr>
        <w:rFonts w:ascii="Times New Roman" w:hAnsi="Times New Roman" w:eastAsia="宋体" w:cs="Times New Roman"/>
        <w:kern w:val="2"/>
        <w:sz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center"/>
      <w:rPr>
        <w:rFonts w:hint="eastAsia" w:ascii="宋体" w:hAnsi="宋体" w:eastAsia="宋体" w:cs="Times New Roman"/>
        <w:kern w:val="2"/>
        <w:sz w:val="21"/>
        <w:szCs w:val="21"/>
        <w:lang w:val="en-US" w:eastAsia="zh-CN" w:bidi="ar-SA"/>
      </w:rPr>
    </w:pPr>
    <w:r>
      <w:rPr>
        <w:rFonts w:ascii="宋体" w:hAnsi="宋体" w:eastAsia="宋体" w:cs="Times New Roman"/>
        <w:kern w:val="2"/>
        <w:sz w:val="21"/>
        <w:szCs w:val="21"/>
        <w:lang w:val="en-US" w:eastAsia="zh-CN" w:bidi="ar-SA"/>
      </w:rPr>
      <w:fldChar w:fldCharType="begin"/>
    </w:r>
    <w:r>
      <w:rPr>
        <w:rStyle w:val="10"/>
        <w:rFonts w:ascii="宋体" w:hAnsi="宋体" w:eastAsia="宋体" w:cs="Times New Roman"/>
        <w:kern w:val="2"/>
        <w:sz w:val="21"/>
        <w:szCs w:val="21"/>
        <w:lang w:val="en-US" w:eastAsia="zh-CN" w:bidi="ar-SA"/>
      </w:rPr>
      <w:instrText xml:space="preserve"> PAGE </w:instrText>
    </w:r>
    <w:r>
      <w:rPr>
        <w:rFonts w:ascii="宋体" w:hAnsi="宋体" w:eastAsia="宋体" w:cs="Times New Roman"/>
        <w:kern w:val="2"/>
        <w:sz w:val="21"/>
        <w:szCs w:val="21"/>
        <w:lang w:val="en-US" w:eastAsia="zh-CN" w:bidi="ar-SA"/>
      </w:rPr>
      <w:fldChar w:fldCharType="separate"/>
    </w:r>
    <w:r>
      <w:rPr>
        <w:rStyle w:val="10"/>
        <w:rFonts w:ascii="宋体" w:hAnsi="宋体" w:eastAsia="宋体" w:cs="Times New Roman"/>
        <w:kern w:val="2"/>
        <w:sz w:val="21"/>
        <w:szCs w:val="21"/>
        <w:lang w:val="en-US" w:eastAsia="zh-CN" w:bidi="ar-SA"/>
      </w:rPr>
      <w:t>- 20 -</w:t>
    </w:r>
    <w:r>
      <w:rPr>
        <w:rFonts w:ascii="宋体" w:hAnsi="宋体" w:eastAsia="宋体" w:cs="Times New Roman"/>
        <w:kern w:val="2"/>
        <w:sz w:val="21"/>
        <w:szCs w:val="21"/>
        <w:lang w:val="en-US" w:eastAsia="zh-CN" w:bidi="ar-SA"/>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tabs>
        <w:tab w:val="left" w:pos="3303"/>
        <w:tab w:val="clear" w:pos="4153"/>
      </w:tabs>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C67337"/>
    <w:multiLevelType w:val="singleLevel"/>
    <w:tmpl w:val="CEC6733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4N2IwNDNmMjU5ODE2MWQ4MTFlNmU1ZDI2YjUxOWMifQ=="/>
    <w:docVar w:name="KSO_WPS_MARK_KEY" w:val="dd4a0aed-3433-447e-93bb-c43bd32c9e1d"/>
  </w:docVars>
  <w:rsids>
    <w:rsidRoot w:val="6A744771"/>
    <w:rsid w:val="000F1926"/>
    <w:rsid w:val="00822C92"/>
    <w:rsid w:val="010334B8"/>
    <w:rsid w:val="02467145"/>
    <w:rsid w:val="03E272F9"/>
    <w:rsid w:val="05ED4C02"/>
    <w:rsid w:val="06F23AB7"/>
    <w:rsid w:val="07886BEA"/>
    <w:rsid w:val="086777C3"/>
    <w:rsid w:val="097F21A0"/>
    <w:rsid w:val="09F621E7"/>
    <w:rsid w:val="0B7A20F5"/>
    <w:rsid w:val="0C1E16A1"/>
    <w:rsid w:val="0CEA2885"/>
    <w:rsid w:val="0E2B76CE"/>
    <w:rsid w:val="0E50408A"/>
    <w:rsid w:val="10A61FE0"/>
    <w:rsid w:val="11BD17A8"/>
    <w:rsid w:val="123F687E"/>
    <w:rsid w:val="136E6F70"/>
    <w:rsid w:val="13847410"/>
    <w:rsid w:val="160F4041"/>
    <w:rsid w:val="1807637A"/>
    <w:rsid w:val="183F1D57"/>
    <w:rsid w:val="191C2519"/>
    <w:rsid w:val="1A6520B9"/>
    <w:rsid w:val="1CCB1E4B"/>
    <w:rsid w:val="1ECB5572"/>
    <w:rsid w:val="1F516372"/>
    <w:rsid w:val="1F78188B"/>
    <w:rsid w:val="1F903C55"/>
    <w:rsid w:val="20B5036E"/>
    <w:rsid w:val="226E1BF4"/>
    <w:rsid w:val="2346239B"/>
    <w:rsid w:val="239C3C32"/>
    <w:rsid w:val="255C2410"/>
    <w:rsid w:val="26293824"/>
    <w:rsid w:val="29234F30"/>
    <w:rsid w:val="292C45BF"/>
    <w:rsid w:val="2FAB19AF"/>
    <w:rsid w:val="301C5701"/>
    <w:rsid w:val="30DB61E2"/>
    <w:rsid w:val="312A7037"/>
    <w:rsid w:val="33F81754"/>
    <w:rsid w:val="34B13101"/>
    <w:rsid w:val="35A62714"/>
    <w:rsid w:val="35DC2C06"/>
    <w:rsid w:val="363C0689"/>
    <w:rsid w:val="36991A28"/>
    <w:rsid w:val="36CC0D92"/>
    <w:rsid w:val="36D76309"/>
    <w:rsid w:val="371D79E2"/>
    <w:rsid w:val="3A7B75AE"/>
    <w:rsid w:val="3AB35D65"/>
    <w:rsid w:val="3B0350DF"/>
    <w:rsid w:val="3C712D37"/>
    <w:rsid w:val="40325E90"/>
    <w:rsid w:val="43266FB8"/>
    <w:rsid w:val="458F2A0A"/>
    <w:rsid w:val="47344CF1"/>
    <w:rsid w:val="483C7010"/>
    <w:rsid w:val="48D46B7F"/>
    <w:rsid w:val="490C653C"/>
    <w:rsid w:val="4A181E8E"/>
    <w:rsid w:val="4A8E709A"/>
    <w:rsid w:val="4DB20386"/>
    <w:rsid w:val="505B5A9E"/>
    <w:rsid w:val="506143EC"/>
    <w:rsid w:val="51D3684D"/>
    <w:rsid w:val="522C034C"/>
    <w:rsid w:val="53084F22"/>
    <w:rsid w:val="537F430A"/>
    <w:rsid w:val="545D233F"/>
    <w:rsid w:val="57F4292C"/>
    <w:rsid w:val="5803021F"/>
    <w:rsid w:val="588F2458"/>
    <w:rsid w:val="58F76517"/>
    <w:rsid w:val="5A5468C1"/>
    <w:rsid w:val="5AE85A70"/>
    <w:rsid w:val="5C1E13B0"/>
    <w:rsid w:val="5C4475DF"/>
    <w:rsid w:val="5CDA3FE6"/>
    <w:rsid w:val="5D337E6A"/>
    <w:rsid w:val="5D8D7ADB"/>
    <w:rsid w:val="5DE7641D"/>
    <w:rsid w:val="5DFE756E"/>
    <w:rsid w:val="5E3E4C2D"/>
    <w:rsid w:val="5EA24952"/>
    <w:rsid w:val="5EB86AF5"/>
    <w:rsid w:val="5F9115F6"/>
    <w:rsid w:val="5FAF36A1"/>
    <w:rsid w:val="613522EA"/>
    <w:rsid w:val="62E542B2"/>
    <w:rsid w:val="64571411"/>
    <w:rsid w:val="64D84A81"/>
    <w:rsid w:val="65F60537"/>
    <w:rsid w:val="665916FA"/>
    <w:rsid w:val="66B2560C"/>
    <w:rsid w:val="67CF2561"/>
    <w:rsid w:val="68B55CD6"/>
    <w:rsid w:val="6A744771"/>
    <w:rsid w:val="6C5F462D"/>
    <w:rsid w:val="6C627BA9"/>
    <w:rsid w:val="6D45389E"/>
    <w:rsid w:val="6E45347A"/>
    <w:rsid w:val="703F08CE"/>
    <w:rsid w:val="708A0A34"/>
    <w:rsid w:val="70EC7A58"/>
    <w:rsid w:val="71943B66"/>
    <w:rsid w:val="71950A8A"/>
    <w:rsid w:val="71AB5455"/>
    <w:rsid w:val="73DC2DCE"/>
    <w:rsid w:val="772A798F"/>
    <w:rsid w:val="78A95882"/>
    <w:rsid w:val="793741EC"/>
    <w:rsid w:val="79EB60CA"/>
    <w:rsid w:val="7B585303"/>
    <w:rsid w:val="7BE42F85"/>
    <w:rsid w:val="7C1F52BA"/>
    <w:rsid w:val="7C594F25"/>
    <w:rsid w:val="7CE02C9B"/>
    <w:rsid w:val="7E8B650A"/>
    <w:rsid w:val="7ECB2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keepNext w:val="0"/>
      <w:keepLines w:val="0"/>
      <w:widowControl w:val="0"/>
      <w:suppressLineNumbers w:val="0"/>
      <w:spacing w:before="0" w:beforeAutospacing="0" w:after="120" w:afterAutospacing="0"/>
      <w:ind w:left="0" w:right="0"/>
      <w:jc w:val="both"/>
    </w:pPr>
    <w:rPr>
      <w:rFonts w:hint="default" w:ascii="Calibri" w:hAnsi="Calibri" w:eastAsia="宋体" w:cs="Times New Roman"/>
      <w:kern w:val="2"/>
      <w:sz w:val="30"/>
      <w:szCs w:val="24"/>
      <w:lang w:val="en-US" w:eastAsia="zh-CN" w:bidi="ar"/>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rPr>
      <w:sz w:val="24"/>
    </w:rPr>
  </w:style>
  <w:style w:type="paragraph" w:styleId="6">
    <w:name w:val="Title"/>
    <w:basedOn w:val="1"/>
    <w:next w:val="1"/>
    <w:qFormat/>
    <w:uiPriority w:val="10"/>
    <w:pPr>
      <w:widowControl w:val="0"/>
      <w:spacing w:before="240" w:after="60"/>
      <w:jc w:val="both"/>
      <w:outlineLvl w:val="0"/>
    </w:pPr>
    <w:rPr>
      <w:rFonts w:ascii="Arial" w:hAnsi="Arial" w:eastAsia="宋体" w:cs="Arial"/>
      <w:b/>
      <w:bCs/>
      <w:kern w:val="2"/>
      <w:sz w:val="32"/>
      <w:szCs w:val="32"/>
      <w:lang w:val="en-US" w:eastAsia="zh-CN" w:bidi="ar-SA"/>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18477</Words>
  <Characters>19723</Characters>
  <Lines>0</Lines>
  <Paragraphs>0</Paragraphs>
  <TotalTime>5</TotalTime>
  <ScaleCrop>false</ScaleCrop>
  <LinksUpToDate>false</LinksUpToDate>
  <CharactersWithSpaces>20687</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2024-11-12T02:57:00Z</dcterms:created>
  <dc:creator>LENOVO</dc:creator>
  <cp:lastModifiedBy>ONLY</cp:lastModifiedBy>
  <cp:lastPrinted>2024-11-26T08:57:00Z</cp:lastPrinted>
  <dcterms:modified xsi:type="dcterms:W3CDTF">2026-05-09T03:24:03Z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841E717BA5B94F1A8172847EB336C3D1</vt:lpwstr>
  </property>
  <property fmtid="{D5CDD505-2E9C-101B-9397-08002B2CF9AE}" pid="4" name="KSOTemplateDocerSaveRecord">
    <vt:lpwstr>eyJoZGlkIjoiMTQ1OWUzMjMwMWZmZGJmYzUwMzUzNWZlYzZmMjU1MWMifQ==</vt:lpwstr>
  </property>
</Properties>
</file>